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tkxzlhjtje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tkxzlhjtje</w:t>
      </w:r>
    </w:p>
    <w:p>
      <w:pPr>
        <w:pStyle w:val="BodyText"/>
      </w:pPr>
      <w:r>
        <w:rPr>
          <w:bCs/>
          <w:b/>
        </w:rPr>
        <w:t xml:space="preserve">Company Name:</w:t>
      </w:r>
      <w:r>
        <w:t xml:space="preserve"> </w:t>
      </w:r>
      <w:r>
        <w:t xml:space="preserve">rhtgfjwkze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nnrwxdvnqn</w:t>
      </w:r>
    </w:p>
    <w:p>
      <w:pPr>
        <w:pStyle w:val="BodyText"/>
      </w:pPr>
      <w:r>
        <w:t xml:space="preserve">This report is generated based on available data and industry standards. While efforts have been made to ensure accuracy, certain assumptions and proxy data have been used where specific primary data was not provided.</w:t>
      </w:r>
    </w:p>
    <w:bookmarkEnd w:id="20"/>
    <w:p>
      <w:pPr>
        <w:pStyle w:val="BodyText"/>
      </w:pPr>
      <w:r>
        <w:t xml:space="preserve">Generated Date: Thursday, May 28, 2026</w:t>
      </w:r>
    </w:p>
    <w:bookmarkStart w:id="42" w:name="X1fe6397ba3bf1d82e6e6c4f51b7e57fe12e737a"/>
    <w:p>
      <w:pPr>
        <w:pStyle w:val="Heading1"/>
      </w:pPr>
      <w:r>
        <w:t xml:space="preserve">Product Carbon Footprint (PCF) Analysis Report for tkxzlhjtje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tkxzlhjtje manufactured by rhtgfjwkze. Prepared by nnrwxdvnqn, Senior Sustainability Consultant specializing in GHG Protocol, this analysis aims to quantify the greenhouse gas (GHG) emissions associated with the product across its lifecycle. The methodology strictly adheres to the GHG Protocol, incorporating the latest 2026 Land Sector and Removals (LSR) Standard updates and stringent Scope 3 compliance requirements. The analysis reveals key emission hotspots and provides a foundational understanding for future emission reduction strategies.</w:t>
      </w:r>
    </w:p>
    <w:p>
      <w:r>
        <w:pict>
          <v:rect style="width:0;height:1.5pt" o:hralign="center" o:hrstd="t" o:hr="t"/>
        </w:pict>
      </w:r>
    </w:p>
    <w:bookmarkEnd w:id="21"/>
    <w:bookmarkStart w:id="26" w:name="methodology"/>
    <w:p>
      <w:pPr>
        <w:pStyle w:val="Heading2"/>
      </w:pPr>
      <w:r>
        <w:t xml:space="preserve">Methodology</w:t>
      </w:r>
    </w:p>
    <w:p>
      <w:pPr>
        <w:pStyle w:val="FirstParagraph"/>
      </w:pPr>
      <w:r>
        <w:t xml:space="preserve">The Product Carbon Footprint (PCF) analysis for tkxzlhjtje follows a comprehensive five-step methodology, grounded in the Greenhouse Gas Protocol (GHG Protocol), the globally recognized standard for GHG accounting. This approach ensures consistency, transparency, and comparability of emission calculations across the product\'s lifecycle.</w:t>
      </w:r>
    </w:p>
    <w:bookmarkStart w:id="22" w:name="ghg-protocol-adherence-scopes-1-2-and-3"/>
    <w:p>
      <w:pPr>
        <w:pStyle w:val="Heading3"/>
      </w:pPr>
      <w:r>
        <w:t xml:space="preserve">GHG Protocol Adherence: Scopes 1, 2, and 3</w:t>
      </w:r>
    </w:p>
    <w:p>
      <w:pPr>
        <w:pStyle w:val="FirstParagraph"/>
      </w:pPr>
      <w:r>
        <w:t xml:space="preserve">Emissions are categorized into three distinct scopes as defined by the GHG Protocol:</w:t>
      </w:r>
    </w:p>
    <w:p>
      <w:pPr>
        <w:numPr>
          <w:ilvl w:val="0"/>
          <w:numId w:val="1001"/>
        </w:numPr>
        <w:pStyle w:val="Compact"/>
      </w:pPr>
      <w:r>
        <w:rPr>
          <w:bCs/>
          <w:b/>
        </w:rPr>
        <w:t xml:space="preserve">Scope 1: Direct Emissions.</w:t>
      </w:r>
      <w:r>
        <w:t xml:space="preserve"> </w:t>
      </w:r>
      <w:r>
        <w:t xml:space="preserve">These are GHG emissions from sources owned or controlled by rhtgfjwkze (e.g., fuel combustion in company vehicles or facilities). For a product carbon footprint focused on factory_gate, direct manufacturing emissions, if any, would fall here.</w:t>
      </w:r>
    </w:p>
    <w:p>
      <w:pPr>
        <w:numPr>
          <w:ilvl w:val="0"/>
          <w:numId w:val="1001"/>
        </w:numPr>
        <w:pStyle w:val="Compact"/>
      </w:pPr>
      <w:r>
        <w:rPr>
          <w:bCs/>
          <w:b/>
        </w:rPr>
        <w:t xml:space="preserve">Scope 2: Indirect Emissions from Purchased Energy.</w:t>
      </w:r>
      <w:r>
        <w:t xml:space="preserve"> </w:t>
      </w:r>
      <w:r>
        <w:t xml:space="preserve">These include emissions from the generation of purchased electricity, steam, heating, or cooling consumed by rhtgfjwkze\'s operations.</w:t>
      </w:r>
    </w:p>
    <w:p>
      <w:pPr>
        <w:numPr>
          <w:ilvl w:val="0"/>
          <w:numId w:val="1001"/>
        </w:numPr>
        <w:pStyle w:val="Compact"/>
      </w:pPr>
      <w:r>
        <w:rPr>
          <w:bCs/>
          <w:b/>
        </w:rPr>
        <w:t xml:space="preserve">Scope 3: Other Indirect Emissions (Value Chain Emissions).</w:t>
      </w:r>
      <w:r>
        <w:t xml:space="preserve"> </w:t>
      </w:r>
      <w:r>
        <w:t xml:space="preserve">These are all other indirect emissions that occur in the value chain of rhtgfjwkze, both upstream (e.g., raw material extraction, supplier transport) and downstream (e.g., product use, end-of-life treatment). Scope 3 emissions typically represent the largest portion of a company\'s total carbon footprint.</w:t>
      </w:r>
    </w:p>
    <w:bookmarkEnd w:id="22"/>
    <w:bookmarkStart w:id="23" w:name="lsr-update"/>
    <w:p>
      <w:pPr>
        <w:pStyle w:val="Heading3"/>
      </w:pPr>
      <w:r>
        <w:t xml:space="preserve">2026 LSR Update</w:t>
      </w:r>
    </w:p>
    <w:p>
      <w:pPr>
        <w:pStyle w:val="FirstParagraph"/>
      </w:pPr>
      <w:r>
        <w:t xml:space="preserve">The Land Sector and Removals (LSR) Standard, released by the GHG Protocol on January 30, 2026, and effective January 1, 2027, has been considered. This standard provides accounting requirements and guidance for entities with significant land sector activities and those that choose to report CO2 removals or CO2 capture with geologic storage in their GHG inventory. It specifically applies to agriculture and CO2 removal technologies in its current version, though future updates may include forestry. While direct land-use change from rhtgfjwkze\'s immediate operations or value chain may not be a primary focus for this particular product\'s PCF (due to system boundary and product type), the principles for tracking and reporting removals are recognized.</w:t>
      </w:r>
    </w:p>
    <w:bookmarkEnd w:id="23"/>
    <w:bookmarkStart w:id="24" w:name="scope-3-compliance"/>
    <w:p>
      <w:pPr>
        <w:pStyle w:val="Heading3"/>
      </w:pPr>
      <w:r>
        <w:t xml:space="preserve">Scope 3 Compliance</w:t>
      </w:r>
    </w:p>
    <w:p>
      <w:pPr>
        <w:pStyle w:val="FirstParagraph"/>
      </w:pPr>
      <w:r>
        <w:t xml:space="preserve">In line with the 2026 requirements, this report aims for robust Scope 3 reporting. Recent updates from the GHG Protocol, specifically a March 2026 progress update, propose a prescriptive completeness requirement where companies would need to account for and report at least 95% of total required Scope 3 emissions, with exclusions not exceeding 5%. This reflects a significant move towards greater completeness and accountability in corporate sustainability reporting.</w:t>
      </w:r>
    </w:p>
    <w:bookmarkEnd w:id="24"/>
    <w:bookmarkStart w:id="25" w:name="methodology-steps-followed"/>
    <w:p>
      <w:pPr>
        <w:pStyle w:val="Heading3"/>
      </w:pPr>
      <w:r>
        <w:t xml:space="preserve">Methodology Steps Followed:</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and map all relevant lifecycle inventory stages (e.g., raw material acquisition, manufacturing, transport, use, end-of-life).</w:t>
      </w:r>
    </w:p>
    <w:p>
      <w:pPr>
        <w:numPr>
          <w:ilvl w:val="0"/>
          <w:numId w:val="1002"/>
        </w:numPr>
        <w:pStyle w:val="Compact"/>
      </w:pPr>
      <w:r>
        <w:rPr>
          <w:bCs/>
          <w:b/>
        </w:rPr>
        <w:t xml:space="preserve">Collect Data:</w:t>
      </w:r>
      <w:r>
        <w:t xml:space="preserve"> </w:t>
      </w:r>
      <w:r>
        <w:t xml:space="preserve">Gather primary and secondary data points for material inputs, energy consumption, transportation, and waste.</w:t>
      </w:r>
    </w:p>
    <w:p>
      <w:pPr>
        <w:numPr>
          <w:ilvl w:val="0"/>
          <w:numId w:val="1002"/>
        </w:numPr>
        <w:pStyle w:val="Compact"/>
      </w:pPr>
      <w:r>
        <w:rPr>
          <w:bCs/>
          <w:b/>
        </w:rPr>
        <w:t xml:space="preserve">Calculate Emissions:</w:t>
      </w:r>
      <w:r>
        <w:t xml:space="preserve"> </w:t>
      </w:r>
      <w:r>
        <w:t xml:space="preserve">Quantify GHG emissions for each lifecycle stage by multiplying activity data by appropriate emission factors (Activity × Emission Factor = CO2e).</w:t>
      </w:r>
    </w:p>
    <w:p>
      <w:pPr>
        <w:numPr>
          <w:ilvl w:val="0"/>
          <w:numId w:val="1002"/>
        </w:numPr>
        <w:pStyle w:val="Compact"/>
      </w:pPr>
      <w:r>
        <w:rPr>
          <w:bCs/>
          <w:b/>
        </w:rPr>
        <w:t xml:space="preserve">Review &amp; Report:</w:t>
      </w:r>
      <w:r>
        <w:t xml:space="preserve"> </w:t>
      </w:r>
      <w:r>
        <w:t xml:space="preserve">Analyze results to identify emission hotspots, assess data reliability, and present findings in a clear, actionable report.</w:t>
      </w:r>
    </w:p>
    <w:p>
      <w:r>
        <w:pict>
          <v:rect style="width:0;height:1.5pt" o:hralign="center" o:hrstd="t" o:hr="t"/>
        </w:pict>
      </w:r>
    </w:p>
    <w:bookmarkEnd w:id="25"/>
    <w:bookmarkEnd w:id="26"/>
    <w:bookmarkStart w:id="27"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tkxzlhjtje. This defines the quantified performance of the product system for which the environmental impacts are calculated.</w:t>
      </w:r>
    </w:p>
    <w:p>
      <w:pPr>
        <w:numPr>
          <w:ilvl w:val="0"/>
          <w:numId w:val="1003"/>
        </w:numPr>
        <w:pStyle w:val="Compact"/>
      </w:pPr>
      <w:r>
        <w:rPr>
          <w:bCs/>
          <w:b/>
        </w:rPr>
        <w:t xml:space="preserve">System Boundary:</w:t>
      </w:r>
      <w:r>
        <w:t xml:space="preserve"> </w:t>
      </w:r>
      <w:r>
        <w:t xml:space="preserve">factory_gate. This "cradle-to-gate" boundary includes emissions from raw material extraction, processing, and manufacturing up to the point the product leaves the factory. For a comprehensive PCF, downstream stages (use and end-of-life) are also analyzed, extending the boundary effectively to "cradle-to-grave" for full impact assessment.</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 This influences the grid electricity emission factors for the manufacturing phase.</w:t>
      </w:r>
    </w:p>
    <w:p>
      <w:pPr>
        <w:numPr>
          <w:ilvl w:val="1"/>
          <w:numId w:val="1004"/>
        </w:numPr>
        <w:pStyle w:val="Compact"/>
      </w:pPr>
      <w:r>
        <w:rPr>
          <w:bCs/>
          <w:b/>
        </w:rPr>
        <w:t xml:space="preserve">Supply Chain Focus:</w:t>
      </w:r>
      <w:r>
        <w:t xml:space="preserve"> </w:t>
      </w:r>
      <w:r>
        <w:t xml:space="preserve">Europe Focused. This impacts upstream transportation distances and modes.</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Mass-based allocation is implicitly used for material and transport impacts where shared processes are involved.</w:t>
      </w:r>
    </w:p>
    <w:p>
      <w:r>
        <w:pict>
          <v:rect style="width:0;height:1.5pt" o:hralign="center" o:hrstd="t" o:hr="t"/>
        </w:pict>
      </w:r>
    </w:p>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critical inputs and assumptions made for the PCF analysis of tkxzlhjtje. Where specific data was not provided in a usable format, reasonable proxy data and industry-standard emission factors have been applied, with explicit disclosure of these assumptions.</w:t>
      </w:r>
    </w:p>
    <w:bookmarkStart w:id="29" w:name="X72f858a06f4d5e2ef38382d59127156ff515557"/>
    <w:p>
      <w:pPr>
        <w:pStyle w:val="Heading3"/>
      </w:pPr>
      <w:r>
        <w:t xml:space="preserve">Detailed Bill of Materials (BOM) - kpwhldvt</w:t>
      </w:r>
    </w:p>
    <w:p>
      <w:pPr>
        <w:pStyle w:val="FirstParagraph"/>
      </w:pPr>
      <w:r>
        <w:t xml:space="preserve">The Detailed Bill of Materials (BOM) for tkxzlhjtje was provided as "kpwhldvt". As this string is not a parseable BOM format, a hypothetical BOM has been constructed for demonstration purposes. This hypothetical BOM reflects typical components and quantities that might be found in a product, along with industry-standard emission factors (e.g., from Ecoinvent/DEFRA for common materials).</w:t>
      </w:r>
    </w:p>
    <w:bookmarkStart w:id="28" w:name="X36d95a9c1262d293183c7abf09a30705a65ad89"/>
    <w:p>
      <w:pPr>
        <w:pStyle w:val="Heading4"/>
      </w:pPr>
      <w:r>
        <w:t xml:space="preserve">Hypothetical Bill of Materials for tkxzlhjtje (for Calculation Demonstration)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r>
    </w:tbl>
    <w:p>
      <w:pPr>
        <w:pStyle w:val="BodyText"/>
      </w:pPr>
      <w:r>
        <w:rPr>
          <w:bCs/>
          <w:b/>
        </w:rPr>
        <w:t xml:space="preserve">Note:</w:t>
      </w:r>
      <w:r>
        <w:t xml:space="preserve"> </w:t>
      </w:r>
      <w:r>
        <w:t xml:space="preserve">The material impacts calculated are based on this hypothetical BOM. A precise PCF requires an actual, detailed, and parseable Bill of Materials.</w:t>
      </w:r>
    </w:p>
    <w:p>
      <w:pPr>
        <w:pStyle w:val="BodyText"/>
      </w:pPr>
      <w:r>
        <w:rPr>
          <w:bCs/>
          <w:b/>
        </w:rPr>
        <w:t xml:space="preserve">Total Hypothetical Product Weight:</w:t>
      </w:r>
      <w:r>
        <w:t xml:space="preserve"> </w:t>
      </w:r>
      <w:r>
        <w:t xml:space="preserve">0.85 kg (sum of quantities from hypothetical BOM)</w:t>
      </w:r>
    </w:p>
    <w:bookmarkEnd w:id="28"/>
    <w:bookmarkEnd w:id="29"/>
    <w:bookmarkStart w:id="30" w:name="production-energy-inputs"/>
    <w:p>
      <w:pPr>
        <w:pStyle w:val="Heading3"/>
      </w:pPr>
      <w:r>
        <w:t xml:space="preserve">Production Energy Inputs</w:t>
      </w:r>
    </w:p>
    <w:p>
      <w:pPr>
        <w:numPr>
          <w:ilvl w:val="0"/>
          <w:numId w:val="1005"/>
        </w:numPr>
        <w:pStyle w:val="Compact"/>
      </w:pPr>
      <w:r>
        <w:rPr>
          <w:bCs/>
          <w:b/>
        </w:rPr>
        <w:t xml:space="preserve">Renewable Energy Usage:</w:t>
      </w:r>
      <w:r>
        <w:t xml:space="preserve"> </w:t>
      </w:r>
      <w:r>
        <w:t xml:space="preserve">vwqtofwhep (Assumed: 50%)</w:t>
      </w:r>
    </w:p>
    <w:p>
      <w:pPr>
        <w:numPr>
          <w:ilvl w:val="0"/>
          <w:numId w:val="1005"/>
        </w:numPr>
        <w:pStyle w:val="Compact"/>
      </w:pPr>
      <w:r>
        <w:rPr>
          <w:bCs/>
          <w:b/>
        </w:rPr>
        <w:t xml:space="preserve">Energy Intensity (kWh/unit):</w:t>
      </w:r>
      <w:r>
        <w:t xml:space="preserve"> </w:t>
      </w:r>
      <w:r>
        <w:t xml:space="preserve">wuostyrnvi (Assumed: 150 kWh/unit)</w:t>
      </w:r>
    </w:p>
    <w:p>
      <w:pPr>
        <w:numPr>
          <w:ilvl w:val="0"/>
          <w:numId w:val="1005"/>
        </w:numPr>
        <w:pStyle w:val="Compact"/>
      </w:pPr>
      <w:r>
        <w:rPr>
          <w:bCs/>
          <w:b/>
        </w:rPr>
        <w:t xml:space="preserve">Production Location:</w:t>
      </w:r>
      <w:r>
        <w:t xml:space="preserve"> </w:t>
      </w:r>
      <w:r>
        <w:t xml:space="preserve">China</w:t>
      </w:r>
    </w:p>
    <w:p>
      <w:pPr>
        <w:numPr>
          <w:ilvl w:val="0"/>
          <w:numId w:val="1005"/>
        </w:numPr>
        <w:pStyle w:val="Compact"/>
      </w:pPr>
      <w:r>
        <w:rPr>
          <w:bCs/>
          <w:b/>
        </w:rPr>
        <w:t xml:space="preserve">China Grid Electricity Emission Factor (2023):</w:t>
      </w:r>
      <w:r>
        <w:t xml:space="preserve"> </w:t>
      </w:r>
      <w:r>
        <w:t xml:space="preserve">0.6205 kgCO2e/kWh</w:t>
      </w:r>
    </w:p>
    <w:bookmarkEnd w:id="30"/>
    <w:bookmarkStart w:id="31" w:name="logistics-data"/>
    <w:p>
      <w:pPr>
        <w:pStyle w:val="Heading3"/>
      </w:pPr>
      <w:r>
        <w:t xml:space="preserve">Logistics Data</w:t>
      </w:r>
    </w:p>
    <w:p>
      <w:pPr>
        <w:numPr>
          <w:ilvl w:val="0"/>
          <w:numId w:val="1006"/>
        </w:numPr>
        <w:pStyle w:val="Compact"/>
      </w:pPr>
      <w:r>
        <w:rPr>
          <w:bCs/>
          <w:b/>
        </w:rPr>
        <w:t xml:space="preserve">Upstream Transport Mode:</w:t>
      </w:r>
      <w:r>
        <w:t xml:space="preserve"> </w:t>
      </w:r>
      <w:r>
        <w:t xml:space="preserve">Select Mode (Assumed: Road - Heavy Goods Vehicle (HGV) &gt;17 tonnes)</w:t>
      </w:r>
    </w:p>
    <w:p>
      <w:pPr>
        <w:numPr>
          <w:ilvl w:val="0"/>
          <w:numId w:val="1006"/>
        </w:numPr>
        <w:pStyle w:val="Compact"/>
      </w:pPr>
      <w:r>
        <w:rPr>
          <w:bCs/>
          <w:b/>
        </w:rPr>
        <w:t xml:space="preserve">Upstream Transport Distance:</w:t>
      </w:r>
      <w:r>
        <w:t xml:space="preserve"> </w:t>
      </w:r>
      <w:r>
        <w:t xml:space="preserve">xektzjkdug (Assumed: 500 km, reflecting European supply chain focus to China production)</w:t>
      </w:r>
    </w:p>
    <w:p>
      <w:pPr>
        <w:numPr>
          <w:ilvl w:val="0"/>
          <w:numId w:val="1006"/>
        </w:numPr>
        <w:pStyle w:val="Compact"/>
      </w:pPr>
      <w:r>
        <w:rPr>
          <w:bCs/>
          <w:b/>
        </w:rPr>
        <w:t xml:space="preserve">HGV (&gt;17 tonnes) Emission Factor (DEFRA 2023):</w:t>
      </w:r>
      <w:r>
        <w:t xml:space="preserve"> </w:t>
      </w:r>
      <w:r>
        <w:t xml:space="preserve">0.08 kgCO2e/tkm</w:t>
      </w:r>
    </w:p>
    <w:p>
      <w:pPr>
        <w:numPr>
          <w:ilvl w:val="0"/>
          <w:numId w:val="1006"/>
        </w:numPr>
        <w:pStyle w:val="Compact"/>
      </w:pPr>
      <w:r>
        <w:rPr>
          <w:bCs/>
          <w:b/>
        </w:rPr>
        <w:t xml:space="preserve">Last-Mile Delivery Channel:</w:t>
      </w:r>
      <w:r>
        <w:t xml:space="preserve"> </w:t>
      </w:r>
      <w:r>
        <w:t xml:space="preserve">Delivery Type (Assumed: Parcel Van, Class III (1.74 to 3.5 tonnes))</w:t>
      </w:r>
    </w:p>
    <w:p>
      <w:pPr>
        <w:numPr>
          <w:ilvl w:val="0"/>
          <w:numId w:val="1006"/>
        </w:numPr>
        <w:pStyle w:val="Compact"/>
      </w:pPr>
      <w:r>
        <w:rPr>
          <w:bCs/>
          <w:b/>
        </w:rPr>
        <w:t xml:space="preserve">Assumed Last-Mile Distance:</w:t>
      </w:r>
      <w:r>
        <w:t xml:space="preserve"> </w:t>
      </w:r>
      <w:r>
        <w:t xml:space="preserve">50 km</w:t>
      </w:r>
    </w:p>
    <w:p>
      <w:pPr>
        <w:numPr>
          <w:ilvl w:val="0"/>
          <w:numId w:val="1006"/>
        </w:numPr>
        <w:pStyle w:val="Compact"/>
      </w:pPr>
      <w:r>
        <w:rPr>
          <w:bCs/>
          <w:b/>
        </w:rPr>
        <w:t xml:space="preserve">Van (Class III) Emission Factor (DEFRA 2023):</w:t>
      </w:r>
      <w:r>
        <w:t xml:space="preserve"> </w:t>
      </w:r>
      <w:r>
        <w:t xml:space="preserve">0.25181 kgCO2e/km (per vehicle-km)</w:t>
      </w:r>
    </w:p>
    <w:p>
      <w:pPr>
        <w:numPr>
          <w:ilvl w:val="0"/>
          <w:numId w:val="1006"/>
        </w:numPr>
        <w:pStyle w:val="Compact"/>
      </w:pPr>
      <w:r>
        <w:rPr>
          <w:bCs/>
          <w:b/>
        </w:rPr>
        <w:t xml:space="preserve">Assumption for Last-Mile Allocation:</w:t>
      </w:r>
      <w:r>
        <w:t xml:space="preserve"> </w:t>
      </w:r>
      <w:r>
        <w:t xml:space="preserve">It is assumed that a delivery van carrying 100 units travels the last-mile distance for allocation purposes.</w:t>
      </w:r>
    </w:p>
    <w:bookmarkEnd w:id="31"/>
    <w:bookmarkStart w:id="32"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hssrjddqlv (Assumed: 7 years)</w:t>
      </w:r>
    </w:p>
    <w:p>
      <w:pPr>
        <w:numPr>
          <w:ilvl w:val="0"/>
          <w:numId w:val="1007"/>
        </w:numPr>
        <w:pStyle w:val="Compact"/>
      </w:pPr>
      <w:r>
        <w:rPr>
          <w:bCs/>
          <w:b/>
        </w:rPr>
        <w:t xml:space="preserve">Energy Consumption in Use:</w:t>
      </w:r>
      <w:r>
        <w:t xml:space="preserve"> </w:t>
      </w:r>
      <w:r>
        <w:t xml:space="preserve">ukpylqjili (Assumed: 30 kWh/year)</w:t>
      </w:r>
    </w:p>
    <w:p>
      <w:pPr>
        <w:numPr>
          <w:ilvl w:val="0"/>
          <w:numId w:val="1007"/>
        </w:numPr>
        <w:pStyle w:val="Compact"/>
      </w:pPr>
      <w:r>
        <w:rPr>
          <w:bCs/>
          <w:b/>
        </w:rPr>
        <w:t xml:space="preserve">Geographic Scope for Use Phase:</w:t>
      </w:r>
      <w:r>
        <w:t xml:space="preserve"> </w:t>
      </w:r>
      <w:r>
        <w:t xml:space="preserve">Europe Focused</w:t>
      </w:r>
    </w:p>
    <w:p>
      <w:pPr>
        <w:numPr>
          <w:ilvl w:val="0"/>
          <w:numId w:val="1007"/>
        </w:numPr>
        <w:pStyle w:val="Compact"/>
      </w:pPr>
      <w:r>
        <w:rPr>
          <w:bCs/>
          <w:b/>
        </w:rPr>
        <w:t xml:space="preserve">European Grid Electricity Emission Factor:</w:t>
      </w:r>
      <w:r>
        <w:t xml:space="preserve"> </w:t>
      </w:r>
      <w:r>
        <w:t xml:space="preserve">0.238 kgCO2e/kWh (EU average)</w:t>
      </w:r>
    </w:p>
    <w:bookmarkEnd w:id="32"/>
    <w:bookmarkStart w:id="33"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spyvhgnduk (Assumed: 75%)</w:t>
      </w:r>
    </w:p>
    <w:p>
      <w:pPr>
        <w:numPr>
          <w:ilvl w:val="0"/>
          <w:numId w:val="1008"/>
        </w:numPr>
        <w:pStyle w:val="Compact"/>
      </w:pPr>
      <w:r>
        <w:rPr>
          <w:bCs/>
          <w:b/>
        </w:rPr>
        <w:t xml:space="preserve">Circular/Take-back Programs:</w:t>
      </w:r>
      <w:r>
        <w:t xml:space="preserve"> </w:t>
      </w:r>
      <w:r>
        <w:t xml:space="preserve">hmsxqfikui (Presence of programs noted; specific quantitative impact not factored without further data on program efficacy and material recapture rates beyond recyclability percentage).</w:t>
      </w:r>
    </w:p>
    <w:p>
      <w:pPr>
        <w:numPr>
          <w:ilvl w:val="0"/>
          <w:numId w:val="1008"/>
        </w:numPr>
        <w:pStyle w:val="Compact"/>
      </w:pPr>
      <w:r>
        <w:rPr>
          <w:bCs/>
          <w:b/>
        </w:rPr>
        <w:t xml:space="preserve">EoL Emission Factor (Mixed Waste to Landfill):</w:t>
      </w:r>
      <w:r>
        <w:t xml:space="preserve"> </w:t>
      </w:r>
      <w:r>
        <w:t xml:space="preserve">1.2 kgCO2e/kg (proxy based on paper waste landfilling)</w:t>
      </w:r>
    </w:p>
    <w:p>
      <w:r>
        <w:pict>
          <v:rect style="width:0;height:1.5pt" o:hralign="center" o:hrstd="t" o:hr="t"/>
        </w:pict>
      </w:r>
    </w:p>
    <w:bookmarkEnd w:id="33"/>
    <w:bookmarkEnd w:id="34"/>
    <w:bookmarkStart w:id="38" w:name="calculate-emissions"/>
    <w:p>
      <w:pPr>
        <w:pStyle w:val="Heading2"/>
      </w:pPr>
      <w:r>
        <w:t xml:space="preserve">4. Calculate Emissions</w:t>
      </w:r>
    </w:p>
    <w:p>
      <w:pPr>
        <w:pStyle w:val="FirstParagraph"/>
      </w:pPr>
      <w:r>
        <w:t xml:space="preserve">Emissions are calculated for each lifecycle stage and categorized according to the GHG Protocol scopes. All calculations are based on the assumed data points and emission factors detailed above.</w:t>
      </w:r>
    </w:p>
    <w:bookmarkStart w:id="35" w:name="X7a3c91ea1acee132d1fc9adc99704c7a9c199d5"/>
    <w:p>
      <w:pPr>
        <w:pStyle w:val="Heading3"/>
      </w:pPr>
      <w:r>
        <w:t xml:space="preserve">Summary of Emissions by Lifecycle Stage and Scope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Materials (Upstream)</w:t>
            </w:r>
          </w:p>
        </w:tc>
        <w:tc>
          <w:tcPr/>
          <w:p>
            <w:pPr>
              <w:pStyle w:val="Compact"/>
              <w:jc w:val="left"/>
            </w:pPr>
            <w:r>
              <w:t xml:space="preserve">Scope 3 (Category 1)</w:t>
            </w:r>
          </w:p>
        </w:tc>
        <w:tc>
          <w:tcPr/>
          <w:p>
            <w:pPr>
              <w:numPr>
                <w:ilvl w:val="0"/>
                <w:numId w:val="1009"/>
              </w:numPr>
              <w:pStyle w:val="Compact"/>
              <w:jc w:val="left"/>
            </w:pPr>
            <w:r>
              <w:t xml:space="preserve">Aluminium: 0.5 kg * 7.0 kgCO2e/kg = 3.5</w:t>
            </w:r>
          </w:p>
          <w:p>
            <w:pPr>
              <w:numPr>
                <w:ilvl w:val="0"/>
                <w:numId w:val="1009"/>
              </w:numPr>
              <w:pStyle w:val="Compact"/>
              <w:jc w:val="left"/>
            </w:pPr>
            <w:r>
              <w:t xml:space="preserve">ABS Plastic: 0.2 kg * 2.5 kgCO2e/kg = 0.5</w:t>
            </w:r>
          </w:p>
          <w:p>
            <w:pPr>
              <w:numPr>
                <w:ilvl w:val="0"/>
                <w:numId w:val="1009"/>
              </w:numPr>
              <w:pStyle w:val="Compact"/>
              <w:jc w:val="left"/>
            </w:pPr>
            <w:r>
              <w:t xml:space="preserve">Circuit Board: 0.05 unit * 10.0 kgCO2e/unit = 0.5</w:t>
            </w:r>
          </w:p>
          <w:p>
            <w:pPr>
              <w:numPr>
                <w:ilvl w:val="0"/>
                <w:numId w:val="1009"/>
              </w:numPr>
              <w:pStyle w:val="Compact"/>
              <w:jc w:val="left"/>
            </w:pPr>
            <w:r>
              <w:t xml:space="preserve">Copper Wire: 0.1 kg * 4.0 kgCO2e/kg = 0.4</w:t>
            </w:r>
          </w:p>
        </w:tc>
        <w:tc>
          <w:tcPr/>
          <w:p>
            <w:pPr>
              <w:pStyle w:val="Compact"/>
              <w:jc w:val="left"/>
            </w:pPr>
            <w:r>
              <w:t xml:space="preserve">4.90</w:t>
            </w:r>
          </w:p>
        </w:tc>
      </w:tr>
      <w:tr>
        <w:tc>
          <w:tcPr/>
          <w:p>
            <w:pPr>
              <w:pStyle w:val="Compact"/>
              <w:jc w:val="left"/>
            </w:pPr>
            <w:r>
              <w:rPr>
                <w:bCs/>
                <w:b/>
              </w:rPr>
              <w:t xml:space="preserve">Production (Manufacturing)</w:t>
            </w:r>
          </w:p>
        </w:tc>
        <w:tc>
          <w:tcPr/>
          <w:p>
            <w:pPr>
              <w:pStyle w:val="Compact"/>
              <w:jc w:val="left"/>
            </w:pPr>
            <w:r>
              <w:t xml:space="preserve">Scope 2</w:t>
            </w:r>
          </w:p>
        </w:tc>
        <w:tc>
          <w:tcPr/>
          <w:p>
            <w:pPr>
              <w:pStyle w:val="Compact"/>
              <w:jc w:val="left"/>
            </w:pPr>
            <w:r>
              <w:t xml:space="preserve">150 kWh/unit * (1 - 0.50 renewable) * 0.6205 kgCO2e/kWh (China Grid EF)</w:t>
            </w:r>
          </w:p>
        </w:tc>
        <w:tc>
          <w:tcPr/>
          <w:p>
            <w:pPr>
              <w:pStyle w:val="Compact"/>
              <w:jc w:val="left"/>
            </w:pPr>
            <w:r>
              <w:t xml:space="preserve">46.54</w:t>
            </w:r>
          </w:p>
        </w:tc>
      </w:tr>
      <w:tr>
        <w:tc>
          <w:tcPr/>
          <w:p>
            <w:pPr>
              <w:pStyle w:val="Compact"/>
              <w:jc w:val="left"/>
            </w:pPr>
            <w:r>
              <w:rPr>
                <w:bCs/>
                <w:b/>
              </w:rPr>
              <w:t xml:space="preserve">Upstream Transport (Components)</w:t>
            </w:r>
          </w:p>
        </w:tc>
        <w:tc>
          <w:tcPr/>
          <w:p>
            <w:pPr>
              <w:pStyle w:val="Compact"/>
              <w:jc w:val="left"/>
            </w:pPr>
            <w:r>
              <w:t xml:space="preserve">Scope 3 (Category 4)</w:t>
            </w:r>
          </w:p>
        </w:tc>
        <w:tc>
          <w:tcPr/>
          <w:p>
            <w:pPr>
              <w:pStyle w:val="Compact"/>
              <w:jc w:val="left"/>
            </w:pPr>
            <w:r>
              <w:t xml:space="preserve">0.85 kg product weight * (500 km / 1000 kg/tonne) * 0.08 kgCO2e/tkm (HGV EF)</w:t>
            </w:r>
          </w:p>
        </w:tc>
        <w:tc>
          <w:tcPr/>
          <w:p>
            <w:pPr>
              <w:pStyle w:val="Compact"/>
              <w:jc w:val="left"/>
            </w:pPr>
            <w:r>
              <w:t xml:space="preserve">0.034</w:t>
            </w:r>
          </w:p>
        </w:tc>
      </w:tr>
      <w:tr>
        <w:tc>
          <w:tcPr/>
          <w:p>
            <w:pPr>
              <w:pStyle w:val="Compact"/>
              <w:jc w:val="left"/>
            </w:pPr>
            <w:r>
              <w:rPr>
                <w:bCs/>
                <w:b/>
              </w:rPr>
              <w:t xml:space="preserve">Downstream Transport (Last-Mile)</w:t>
            </w:r>
          </w:p>
        </w:tc>
        <w:tc>
          <w:tcPr/>
          <w:p>
            <w:pPr>
              <w:pStyle w:val="Compact"/>
              <w:jc w:val="left"/>
            </w:pPr>
            <w:r>
              <w:t xml:space="preserve">Scope 3 (Category 9)</w:t>
            </w:r>
          </w:p>
        </w:tc>
        <w:tc>
          <w:tcPr/>
          <w:p>
            <w:pPr>
              <w:pStyle w:val="Compact"/>
              <w:jc w:val="left"/>
            </w:pPr>
            <w:r>
              <w:t xml:space="preserve">(50 km * 0.25181 kgCO2e/km (Van EF)) / 100 units</w:t>
            </w:r>
          </w:p>
        </w:tc>
        <w:tc>
          <w:tcPr/>
          <w:p>
            <w:pPr>
              <w:pStyle w:val="Compact"/>
              <w:jc w:val="left"/>
            </w:pPr>
            <w:r>
              <w:t xml:space="preserve">0.126</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7 years * 30 kWh/year * 0.238 kgCO2e/kWh (Europe Grid EF)</w:t>
            </w:r>
          </w:p>
        </w:tc>
        <w:tc>
          <w:tcPr/>
          <w:p>
            <w:pPr>
              <w:pStyle w:val="Compact"/>
              <w:jc w:val="left"/>
            </w:pPr>
            <w:r>
              <w:t xml:space="preserve">49.98</w:t>
            </w:r>
          </w:p>
        </w:tc>
      </w:tr>
      <w:tr>
        <w:tc>
          <w:tcPr/>
          <w:p>
            <w:pPr>
              <w:pStyle w:val="Compact"/>
              <w:jc w:val="left"/>
            </w:pPr>
            <w:r>
              <w:rPr>
                <w:bCs/>
                <w:b/>
              </w:rPr>
              <w:t xml:space="preserve">End-of-Life (Disposal of non-recycled portion)</w:t>
            </w:r>
          </w:p>
        </w:tc>
        <w:tc>
          <w:tcPr/>
          <w:p>
            <w:pPr>
              <w:pStyle w:val="Compact"/>
              <w:jc w:val="left"/>
            </w:pPr>
            <w:r>
              <w:t xml:space="preserve">Scope 3 (Category 12)</w:t>
            </w:r>
          </w:p>
        </w:tc>
        <w:tc>
          <w:tcPr/>
          <w:p>
            <w:pPr>
              <w:pStyle w:val="Compact"/>
              <w:jc w:val="left"/>
            </w:pPr>
            <w:r>
              <w:t xml:space="preserve">0.85 kg product weight * (1 - 0.75 recyclability) * 1.2 kgCO2e/kg (EoL EF)</w:t>
            </w:r>
          </w:p>
        </w:tc>
        <w:tc>
          <w:tcPr/>
          <w:p>
            <w:pPr>
              <w:pStyle w:val="Compact"/>
              <w:jc w:val="left"/>
            </w:pPr>
            <w:r>
              <w:t xml:space="preserve">0.255</w:t>
            </w:r>
          </w:p>
        </w:tc>
      </w:tr>
    </w:tbl>
    <w:bookmarkEnd w:id="35"/>
    <w:bookmarkStart w:id="36" w:name="X1fddc78cfe176f93a0949347d7258a8477783a5"/>
    <w:p>
      <w:pPr>
        <w:pStyle w:val="Heading3"/>
      </w:pPr>
      <w:r>
        <w:t xml:space="preserve">Total Product Carbon Footprint (PCF) for tkxzlhjtje:</w:t>
      </w:r>
    </w:p>
    <w:p>
      <w:pPr>
        <w:pStyle w:val="FirstParagraph"/>
      </w:pPr>
      <w:r>
        <w:t xml:space="preserve">Total PCF = 101.835 kg CO2e per unit</w:t>
      </w:r>
    </w:p>
    <w:bookmarkEnd w:id="36"/>
    <w:bookmarkStart w:id="37" w:name="emissions-categorization-by-scope"/>
    <w:p>
      <w:pPr>
        <w:pStyle w:val="Heading3"/>
      </w:pPr>
      <w:r>
        <w:t xml:space="preserve">Emissions Categorization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(negligible for this PCF, no direct combustion data provided)</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46.54</w:t>
            </w:r>
          </w:p>
        </w:tc>
        <w:tc>
          <w:tcPr/>
          <w:p>
            <w:pPr>
              <w:pStyle w:val="Compact"/>
              <w:jc w:val="left"/>
            </w:pPr>
            <w:r>
              <w:t xml:space="preserve">45.70%</w:t>
            </w:r>
          </w:p>
        </w:tc>
      </w:tr>
      <w:tr>
        <w:tc>
          <w:tcPr/>
          <w:p>
            <w:pPr>
              <w:pStyle w:val="Compact"/>
              <w:jc w:val="left"/>
            </w:pPr>
            <w:r>
              <w:t xml:space="preserve">Scope 3</w:t>
            </w:r>
          </w:p>
        </w:tc>
        <w:tc>
          <w:tcPr/>
          <w:p>
            <w:pPr>
              <w:pStyle w:val="Compact"/>
              <w:jc w:val="left"/>
            </w:pPr>
            <w:r>
              <w:t xml:space="preserve">Value Chain Emissions (Materials, Transport, Use, EoL)</w:t>
            </w:r>
          </w:p>
        </w:tc>
        <w:tc>
          <w:tcPr/>
          <w:p>
            <w:pPr>
              <w:pStyle w:val="Compact"/>
              <w:jc w:val="left"/>
            </w:pPr>
            <w:r>
              <w:t xml:space="preserve">55.295</w:t>
            </w:r>
          </w:p>
        </w:tc>
        <w:tc>
          <w:tcPr/>
          <w:p>
            <w:pPr>
              <w:pStyle w:val="Compact"/>
              <w:jc w:val="left"/>
            </w:pPr>
            <w:r>
              <w:t xml:space="preserve">54.30%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101.835</w:t>
            </w:r>
          </w:p>
        </w:tc>
        <w:tc>
          <w:tcPr/>
          <w:p>
            <w:pPr>
              <w:pStyle w:val="Compact"/>
              <w:jc w:val="left"/>
            </w:pPr>
            <w:r>
              <w:rPr>
                <w:bCs/>
                <w:b/>
              </w:rPr>
              <w:t xml:space="preserve">100.00%</w:t>
            </w:r>
          </w:p>
        </w:tc>
      </w:tr>
    </w:tbl>
    <w:p>
      <w:r>
        <w:pict>
          <v:rect style="width:0;height:1.5pt" o:hralign="center" o:hrstd="t" o:hr="t"/>
        </w:pict>
      </w:r>
    </w:p>
    <w:bookmarkEnd w:id="37"/>
    <w:bookmarkEnd w:id="38"/>
    <w:bookmarkStart w:id="41"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identifies the primary emission hotspots for tkxzlhjtje:</w:t>
      </w:r>
    </w:p>
    <w:p>
      <w:pPr>
        <w:numPr>
          <w:ilvl w:val="0"/>
          <w:numId w:val="1010"/>
        </w:numPr>
        <w:pStyle w:val="Compact"/>
      </w:pPr>
      <w:r>
        <w:rPr>
          <w:bCs/>
          <w:b/>
        </w:rPr>
        <w:t xml:space="preserve">Use Phase (49.98 kgCO2e):</w:t>
      </w:r>
      <w:r>
        <w:t xml:space="preserve"> </w:t>
      </w:r>
      <w:r>
        <w:t xml:space="preserve">The energy consumption during the product\'s 7-year lifespan is the largest contributor to the PCF, accounting for approximately 49.1% of the total. This highlights the importance of energy efficiency during product operation.</w:t>
      </w:r>
    </w:p>
    <w:p>
      <w:pPr>
        <w:numPr>
          <w:ilvl w:val="0"/>
          <w:numId w:val="1010"/>
        </w:numPr>
        <w:pStyle w:val="Compact"/>
      </w:pPr>
      <w:r>
        <w:rPr>
          <w:bCs/>
          <w:b/>
        </w:rPr>
        <w:t xml:space="preserve">Production Phase (46.54 kgCO2e):</w:t>
      </w:r>
      <w:r>
        <w:t xml:space="preserve"> </w:t>
      </w:r>
      <w:r>
        <w:t xml:space="preserve">Emissions from purchased electricity for manufacturing in China represent the second largest hotspot, contributing around 45.7% of the total. While 50% renewable energy usage is assumed, the remaining grid electricity has a significant impact.</w:t>
      </w:r>
    </w:p>
    <w:p>
      <w:pPr>
        <w:numPr>
          <w:ilvl w:val="0"/>
          <w:numId w:val="1010"/>
        </w:numPr>
        <w:pStyle w:val="Compact"/>
      </w:pPr>
      <w:r>
        <w:rPr>
          <w:bCs/>
          <w:b/>
        </w:rPr>
        <w:t xml:space="preserve">Materials (4.90 kgCO2e):</w:t>
      </w:r>
      <w:r>
        <w:t xml:space="preserve"> </w:t>
      </w:r>
      <w:r>
        <w:t xml:space="preserve">The raw materials, based on the hypothetical BOM, contribute about 4.8% of the total PCF. Aluminium and circuit board components appear to have higher individual impacts.</w:t>
      </w:r>
    </w:p>
    <w:p>
      <w:pPr>
        <w:numPr>
          <w:ilvl w:val="0"/>
          <w:numId w:val="1010"/>
        </w:numPr>
        <w:pStyle w:val="Compact"/>
      </w:pPr>
      <w:r>
        <w:rPr>
          <w:bCs/>
          <w:b/>
        </w:rPr>
        <w:t xml:space="preserve">Downstream Transport (0.126 kgCO2e):</w:t>
      </w:r>
      <w:r>
        <w:t xml:space="preserve"> </w:t>
      </w:r>
      <w:r>
        <w:t xml:space="preserve">Last-mile delivery, even with allocation, contributes a minor but noteworthy portion (0.12%) of the PCF.</w:t>
      </w:r>
    </w:p>
    <w:p>
      <w:pPr>
        <w:numPr>
          <w:ilvl w:val="0"/>
          <w:numId w:val="1010"/>
        </w:numPr>
        <w:pStyle w:val="Compact"/>
      </w:pPr>
      <w:r>
        <w:rPr>
          <w:bCs/>
          <w:b/>
        </w:rPr>
        <w:t xml:space="preserve">End-of-Life (0.255 kgCO2e):</w:t>
      </w:r>
      <w:r>
        <w:t xml:space="preserve"> </w:t>
      </w:r>
      <w:r>
        <w:t xml:space="preserve">Despite a 75% recyclability rate, the emissions from the disposal of the non-recycled portion contribute a small amount (0.25%).</w:t>
      </w:r>
    </w:p>
    <w:p>
      <w:pPr>
        <w:numPr>
          <w:ilvl w:val="0"/>
          <w:numId w:val="1010"/>
        </w:numPr>
        <w:pStyle w:val="Compact"/>
      </w:pPr>
      <w:r>
        <w:rPr>
          <w:bCs/>
          <w:b/>
        </w:rPr>
        <w:t xml:space="preserve">Upstream Transport (0.034 kgCO2e):</w:t>
      </w:r>
      <w:r>
        <w:t xml:space="preserve"> </w:t>
      </w:r>
      <w:r>
        <w:t xml:space="preserve">Transport of components to the factory is a very small contributor (0.03%), indicating that for this product\'s weight and assumed transport distance, the per-unit impact is minimal when shipped in bulk.</w:t>
      </w:r>
    </w:p>
    <w:bookmarkEnd w:id="39"/>
    <w:bookmarkStart w:id="40" w:name="reliability-and-limitations"/>
    <w:p>
      <w:pPr>
        <w:pStyle w:val="Heading3"/>
      </w:pPr>
      <w:r>
        <w:t xml:space="preserve">Reliability and Limitations</w:t>
      </w:r>
    </w:p>
    <w:p>
      <w:pPr>
        <w:pStyle w:val="FirstParagraph"/>
      </w:pPr>
      <w:r>
        <w:t xml:space="preserve">The reliability of this PCF analysis is influenced by the data availability and assumptions made:</w:t>
      </w:r>
    </w:p>
    <w:p>
      <w:pPr>
        <w:numPr>
          <w:ilvl w:val="0"/>
          <w:numId w:val="1011"/>
        </w:numPr>
        <w:pStyle w:val="Compact"/>
      </w:pPr>
      <w:r>
        <w:rPr>
          <w:bCs/>
          <w:b/>
        </w:rPr>
        <w:t xml:space="preserve">BOM Data:</w:t>
      </w:r>
      <w:r>
        <w:t xml:space="preserve"> </w:t>
      </w:r>
      <w:r>
        <w:t xml:space="preserve">The most significant limitation is the use of a hypothetical Bill of Materials. The provided "kpwhldvt" was not a parseable data set. A truly accurate PCF requires primary, detailed, and validated BOM data for all components and sub-assemblies.</w:t>
      </w:r>
    </w:p>
    <w:p>
      <w:pPr>
        <w:numPr>
          <w:ilvl w:val="0"/>
          <w:numId w:val="1011"/>
        </w:numPr>
        <w:pStyle w:val="Compact"/>
      </w:pPr>
      <w:r>
        <w:rPr>
          <w:bCs/>
          <w:b/>
        </w:rPr>
        <w:t xml:space="preserve">Proxy Emission Factors:</w:t>
      </w:r>
      <w:r>
        <w:t xml:space="preserve"> </w:t>
      </w:r>
      <w:r>
        <w:t xml:space="preserve">Industry-average emission factors from sources like DEFRA and country-specific grid mixes (China and Europe) have been used. While robust, product-specific or supplier-specific primary data would enhance accuracy.</w:t>
      </w:r>
    </w:p>
    <w:p>
      <w:pPr>
        <w:numPr>
          <w:ilvl w:val="0"/>
          <w:numId w:val="1011"/>
        </w:numPr>
        <w:pStyle w:val="Compact"/>
      </w:pPr>
      <w:r>
        <w:rPr>
          <w:bCs/>
          <w:b/>
        </w:rPr>
        <w:t xml:space="preserve">Placeholder Assumptions:</w:t>
      </w:r>
      <w:r>
        <w:t xml:space="preserve"> </w:t>
      </w:r>
      <w:r>
        <w:t xml:space="preserve">Numerical values for \'Renewable Energy Usage\', \'Energy Intensity\', \'Transport Distance\', \'Product Lifespan\', \'Energy Consumption in Use\', and \'Recyclability Percentage\' were based on reasonable estimates for demonstration. Real-world values provided by rhtgfjwkze would significantly improve accuracy.</w:t>
      </w:r>
    </w:p>
    <w:p>
      <w:pPr>
        <w:numPr>
          <w:ilvl w:val="0"/>
          <w:numId w:val="1011"/>
        </w:numPr>
        <w:pStyle w:val="Compact"/>
      </w:pPr>
      <w:r>
        <w:rPr>
          <w:bCs/>
          <w:b/>
        </w:rPr>
        <w:t xml:space="preserve">Transport Allocation:</w:t>
      </w:r>
      <w:r>
        <w:t xml:space="preserve"> </w:t>
      </w:r>
      <w:r>
        <w:t xml:space="preserve">Assumptions regarding freight modes and last-mile delivery allocation (e.g., number of units per van) directly impact transport emission calculations.</w:t>
      </w:r>
    </w:p>
    <w:p>
      <w:pPr>
        <w:numPr>
          <w:ilvl w:val="0"/>
          <w:numId w:val="1011"/>
        </w:numPr>
        <w:pStyle w:val="Compact"/>
      </w:pPr>
      <w:r>
        <w:rPr>
          <w:bCs/>
          <w:b/>
        </w:rPr>
        <w:t xml:space="preserve">Circular Economy Impacts:</w:t>
      </w:r>
      <w:r>
        <w:t xml:space="preserve"> </w:t>
      </w:r>
      <w:r>
        <w:t xml:space="preserve">While "Circular/Take-back Programs" are noted, their specific quantitative benefits (e.g., avoided virgin material production, high-value recycling rates) are not fully captured without detailed program data.</w:t>
      </w:r>
    </w:p>
    <w:p>
      <w:pPr>
        <w:pStyle w:val="FirstParagraph"/>
      </w:pPr>
      <w:r>
        <w:t xml:space="preserve">To enhance the accuracy and robustness of future PCF reports, it is highly recommended that rhtgfjwkze provide comprehensive primary data for its Bill of Materials, actual energy consumption and sources, and detailed logistics information.</w:t>
      </w:r>
    </w:p>
    <w:p>
      <w:r>
        <w:pict>
          <v:rect style="width:0;height:1.5pt" o:hralign="center" o:hrstd="t" o:hr="t"/>
        </w:pict>
      </w:r>
    </w:p>
    <w:p>
      <w:pPr>
        <w:pStyle w:val="FirstParagraph"/>
      </w:pPr>
      <w:r>
        <w:t xml:space="preserve">This report serves as a foundational assessment for tkxzlhjtje\'s environmental impact, identifying key areas for potential carbon reduction initiatives in line with rhtgfjwkze\'s sustainability goals and the evolving requirements of the GHG Protocol.</w:t>
      </w:r>
    </w:p>
    <w:p>
      <w:pPr>
        <w:pStyle w:val="BodyText"/>
      </w:pPr>
      <w:r>
        <w:t xml:space="preserve">Confidential - Internal Use Only | Page X of 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tkxzlhjtje</dc:title>
  <dc:creator/>
  <dc:description>Detailed Product Carbon Footprint (PCF) analysis report for product tkxzlhjtje by rhtgfjwkze, prepared by Senior Sustainability Consultant nnrwxdvnqn, adhering to GHG Protocol and 2026 LSR update.</dc:description>
  <dc:language>en</dc:language>
  <cp:keywords/>
  <dcterms:created xsi:type="dcterms:W3CDTF">2026-07-15T20:11:15Z</dcterms:created>
  <dcterms:modified xsi:type="dcterms:W3CDTF">2026-07-15T20:11:15Z</dcterms:modified>
</cp:coreProperties>
</file>

<file path=docProps/custom.xml><?xml version="1.0" encoding="utf-8"?>
<Properties xmlns="http://schemas.openxmlformats.org/officeDocument/2006/custom-properties" xmlns:vt="http://schemas.openxmlformats.org/officeDocument/2006/docPropsVTypes"/>
</file>