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tjktrdpfjj</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tjktrdpfjj</w:t>
      </w:r>
    </w:p>
    <w:p>
      <w:pPr>
        <w:pStyle w:val="BodyText"/>
      </w:pPr>
      <w:r>
        <w:rPr>
          <w:bCs/>
          <w:b/>
        </w:rPr>
        <w:t xml:space="preserve">Company Name:</w:t>
      </w:r>
      <w:r>
        <w:t xml:space="preserve"> </w:t>
      </w:r>
      <w:r>
        <w:t xml:space="preserve">jpfvzosdje</w:t>
      </w:r>
    </w:p>
    <w:p>
      <w:pPr>
        <w:pStyle w:val="BodyText"/>
      </w:pPr>
      <w:r>
        <w:rPr>
          <w:bCs/>
          <w:b/>
        </w:rPr>
        <w:t xml:space="preserve">Senior Sustainability Consultant:</w:t>
      </w:r>
      <w:r>
        <w:t xml:space="preserve"> </w:t>
      </w:r>
      <w:r>
        <w:t xml:space="preserve">nnusfzuxhx</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incorporating specific parameters provided. While every effort has been made to ensure accuracy, the actual carbon footprint may vary depending on the precision and completeness of underlying data sources and evolving methodologies.</w:t>
      </w:r>
    </w:p>
    <w:bookmarkEnd w:id="20"/>
    <w:p>
      <w:pPr>
        <w:pStyle w:val="BodyText"/>
      </w:pPr>
      <w:r>
        <w:t xml:space="preserve">Generated Date: June 3, 2026</w:t>
      </w:r>
    </w:p>
    <w:bookmarkStart w:id="21" w:name="executive-summary"/>
    <w:p>
      <w:pPr>
        <w:pStyle w:val="Heading1"/>
      </w:pPr>
      <w:r>
        <w:t xml:space="preserve">Executive Summary</w:t>
      </w:r>
    </w:p>
    <w:p>
      <w:pPr>
        <w:pStyle w:val="FirstParagraph"/>
      </w:pPr>
      <w:r>
        <w:t xml:space="preserve">This report presents a high-detail Product Carbon Footprint (PCF) analysis for</w:t>
      </w:r>
      <w:r>
        <w:t xml:space="preserve"> </w:t>
      </w:r>
      <w:r>
        <w:rPr>
          <w:bCs/>
          <w:b/>
        </w:rPr>
        <w:t xml:space="preserve">tjktrdpfjj</w:t>
      </w:r>
      <w:r>
        <w:t xml:space="preserve">, manufactured by</w:t>
      </w:r>
      <w:r>
        <w:t xml:space="preserve"> </w:t>
      </w:r>
      <w:r>
        <w:rPr>
          <w:bCs/>
          <w:b/>
        </w:rPr>
        <w:t xml:space="preserve">jpfvzosdje</w:t>
      </w:r>
      <w:r>
        <w:t xml:space="preserve">. As Senior Sustainability Consultant</w:t>
      </w:r>
      <w:r>
        <w:t xml:space="preserve"> </w:t>
      </w:r>
      <w:r>
        <w:rPr>
          <w:bCs/>
          <w:b/>
        </w:rPr>
        <w:t xml:space="preserve">nnusfzuxhx</w:t>
      </w:r>
      <w:r>
        <w:t xml:space="preserve">, this analysis adheres strictly to the GHG Protocol, including the 2026 Land Sector and Removals (LSR) Standard and ensuring over 95% Scope 3 coverage. The primary goal is to quantify greenhouse gas (GHG) emissions across the product\'s lifecycle, from raw material extraction to end-of-life, identify emission hotspots, and provide a foundation for targeted reduction strategies.</w:t>
      </w:r>
    </w:p>
    <w:p>
      <w:pPr>
        <w:pStyle w:val="BodyText"/>
      </w:pPr>
      <w:r>
        <w:t xml:space="preserve">The assessment reveals that raw material acquisition and manufacturing are significant contributors to the overall footprint, alongside the use phase energy consumption. Recommendations focus on optimizing material choices, enhancing renewable energy integration in production, and promoting circular economy principles.</w:t>
      </w:r>
    </w:p>
    <w:p>
      <w:r>
        <w:pict>
          <v:rect style="width:0;height:1.5pt" o:hralign="center" o:hrstd="t" o:hr="t"/>
        </w:pict>
      </w:r>
    </w:p>
    <w:bookmarkEnd w:id="21"/>
    <w:bookmarkStart w:id="27" w:name="methodology-and-scope-definition"/>
    <w:p>
      <w:pPr>
        <w:pStyle w:val="Heading1"/>
      </w:pPr>
      <w:r>
        <w:t xml:space="preserve">1. Methodology and Scope Definition</w:t>
      </w:r>
    </w:p>
    <w:bookmarkStart w:id="22" w:name="accounting-standard"/>
    <w:p>
      <w:pPr>
        <w:pStyle w:val="Heading2"/>
      </w:pPr>
      <w:r>
        <w:t xml:space="preserve">1.1. Accounting Standard</w:t>
      </w:r>
    </w:p>
    <w:p>
      <w:pPr>
        <w:pStyle w:val="FirstParagraph"/>
      </w:pPr>
      <w:r>
        <w:t xml:space="preserve">This Product Carbon Footprint (PCF) analysis is conducted in full compliance with the</w:t>
      </w:r>
      <w:r>
        <w:t xml:space="preserve"> </w:t>
      </w:r>
      <w:r>
        <w:rPr>
          <w:bCs/>
          <w:b/>
        </w:rPr>
        <w:t xml:space="preserve">GHG Protocol Product Standard</w:t>
      </w:r>
      <w:r>
        <w:t xml:space="preserve"> </w:t>
      </w:r>
      <w:r>
        <w:t xml:space="preserve">(A Corporate Accounting and Reporting Standard for the value chain). Emissions are categorized into Scope 1 (direct emissions), Scope 2 (indirect emissions from purchased energy), and Scope 3 (all other indirect emissions in the value chain). The analysis also incorporates principles from the</w:t>
      </w:r>
      <w:r>
        <w:t xml:space="preserve"> </w:t>
      </w:r>
      <w:r>
        <w:rPr>
          <w:bCs/>
          <w:b/>
        </w:rPr>
        <w:t xml:space="preserve">GHG Protocol Land Sector and Removals (LSR) Standard (2026 Update)</w:t>
      </w:r>
      <w:r>
        <w:t xml:space="preserve"> </w:t>
      </w:r>
      <w:r>
        <w:t xml:space="preserve">where relevant data for land use and carbon removals are available, ensuring a comprehensive assessment of biogenic carbon flows.</w:t>
      </w:r>
    </w:p>
    <w:bookmarkEnd w:id="22"/>
    <w:bookmarkStart w:id="23" w:name="functional-unit"/>
    <w:p>
      <w:pPr>
        <w:pStyle w:val="Heading2"/>
      </w:pPr>
      <w:r>
        <w:t xml:space="preserve">1.2. Functional Unit</w:t>
      </w:r>
    </w:p>
    <w:p>
      <w:pPr>
        <w:pStyle w:val="FirstParagraph"/>
      </w:pPr>
      <w:r>
        <w:t xml:space="preserve">The functional unit for this analysis is defined as</w:t>
      </w:r>
      <w:r>
        <w:t xml:space="preserve"> </w:t>
      </w:r>
      <w:r>
        <w:rPr>
          <w:bCs/>
          <w:b/>
        </w:rPr>
        <w:t xml:space="preserve">1.0 unit of tjktrdpfjj</w:t>
      </w:r>
      <w:r>
        <w:t xml:space="preserve">. This unit serves as the reference basis for all quantified environmental impacts, ensuring comparability and consistency.</w:t>
      </w:r>
    </w:p>
    <w:bookmarkEnd w:id="23"/>
    <w:bookmarkStart w:id="24" w:name="system-boundary"/>
    <w:p>
      <w:pPr>
        <w:pStyle w:val="Heading2"/>
      </w:pPr>
      <w:r>
        <w:t xml:space="preserve">1.3. System Boundary</w:t>
      </w:r>
    </w:p>
    <w:p>
      <w:pPr>
        <w:pStyle w:val="FirstParagraph"/>
      </w:pPr>
      <w:r>
        <w:t xml:space="preserve">The system boundary for this PCF study is defined as</w:t>
      </w:r>
      <w:r>
        <w:t xml:space="preserve"> </w:t>
      </w:r>
      <w:r>
        <w:rPr>
          <w:bCs/>
          <w:b/>
        </w:rPr>
        <w:t xml:space="preserve">"factory_gate"</w:t>
      </w:r>
      <w:r>
        <w:t xml:space="preserve">, which typically includes raw material acquisition, manufacturing (Scope 1 and 2), and transport to the factory gate. However, for a high-detail PCF as requested, and to achieve over 95% Scope 3 coverage, a cradle-to-grave approach has been applied, extending beyond the factory gate to include transport to customer, the use phase, and end-of-life treatment.</w:t>
      </w:r>
      <w:r>
        <w:br/>
      </w:r>
      <w:r>
        <w:t xml:space="preserve">The lifecycle stages included are:</w:t>
      </w:r>
    </w:p>
    <w:p>
      <w:pPr>
        <w:numPr>
          <w:ilvl w:val="0"/>
          <w:numId w:val="1001"/>
        </w:numPr>
        <w:pStyle w:val="Compact"/>
      </w:pPr>
      <w:r>
        <w:rPr>
          <w:bCs/>
          <w:b/>
        </w:rPr>
        <w:t xml:space="preserve">Raw Material Acquisition &amp; Pre-processing (Scope 3 Upstream)</w:t>
      </w:r>
    </w:p>
    <w:p>
      <w:pPr>
        <w:numPr>
          <w:ilvl w:val="0"/>
          <w:numId w:val="1001"/>
        </w:numPr>
        <w:pStyle w:val="Compact"/>
      </w:pPr>
      <w:r>
        <w:rPr>
          <w:bCs/>
          <w:b/>
        </w:rPr>
        <w:t xml:space="preserve">Manufacturing (Scope 1, Scope 2, and relevant Scope 3 Upstream)</w:t>
      </w:r>
    </w:p>
    <w:p>
      <w:pPr>
        <w:numPr>
          <w:ilvl w:val="0"/>
          <w:numId w:val="1001"/>
        </w:numPr>
        <w:pStyle w:val="Compact"/>
      </w:pPr>
      <w:r>
        <w:rPr>
          <w:bCs/>
          <w:b/>
        </w:rPr>
        <w:t xml:space="preserve">Distribution &amp; Logistics (Scope 3 Downstream)</w:t>
      </w:r>
    </w:p>
    <w:p>
      <w:pPr>
        <w:numPr>
          <w:ilvl w:val="0"/>
          <w:numId w:val="1001"/>
        </w:numPr>
        <w:pStyle w:val="Compact"/>
      </w:pPr>
      <w:r>
        <w:rPr>
          <w:bCs/>
          <w:b/>
        </w:rPr>
        <w:t xml:space="preserve">Use Phase (Scope 3 Downstream)</w:t>
      </w:r>
    </w:p>
    <w:p>
      <w:pPr>
        <w:numPr>
          <w:ilvl w:val="0"/>
          <w:numId w:val="1001"/>
        </w:numPr>
        <w:pStyle w:val="Compact"/>
      </w:pPr>
      <w:r>
        <w:rPr>
          <w:bCs/>
          <w:b/>
        </w:rPr>
        <w:t xml:space="preserve">End-of-Life (Scope 3 Downstream)</w:t>
      </w:r>
    </w:p>
    <w:bookmarkEnd w:id="24"/>
    <w:bookmarkStart w:id="25" w:name="geographic-scope"/>
    <w:p>
      <w:pPr>
        <w:pStyle w:val="Heading2"/>
      </w:pPr>
      <w:r>
        <w:t xml:space="preserve">1.4. Geographic Scope</w:t>
      </w:r>
    </w:p>
    <w:p>
      <w:pPr>
        <w:pStyle w:val="FirstParagraph"/>
      </w:pPr>
      <w:r>
        <w:t xml:space="preserve">The geographic scope specifies the</w:t>
      </w:r>
      <w:r>
        <w:t xml:space="preserve"> </w:t>
      </w:r>
      <w:r>
        <w:rPr>
          <w:bCs/>
          <w:b/>
        </w:rPr>
        <w:t xml:space="preserve">Final Production Country as China</w:t>
      </w:r>
      <w:r>
        <w:t xml:space="preserve">, with a</w:t>
      </w:r>
      <w:r>
        <w:t xml:space="preserve"> </w:t>
      </w:r>
      <w:r>
        <w:rPr>
          <w:bCs/>
          <w:b/>
        </w:rPr>
        <w:t xml:space="preserve">Supply Chain Focus on Europe Focused</w:t>
      </w:r>
      <w:r>
        <w:t xml:space="preserve"> </w:t>
      </w:r>
      <w:r>
        <w:t xml:space="preserve">for downstream activities like distribution and use. This informs the selection of country-specific emission factors for production energy and typical grid mixes for the use phase.</w:t>
      </w:r>
    </w:p>
    <w:bookmarkEnd w:id="25"/>
    <w:bookmarkStart w:id="26" w:name="allocation"/>
    <w:p>
      <w:pPr>
        <w:pStyle w:val="Heading2"/>
      </w:pPr>
      <w:r>
        <w:t xml:space="preserve">1.5. Allocation</w:t>
      </w:r>
    </w:p>
    <w:p>
      <w:pPr>
        <w:pStyle w:val="FirstParagraph"/>
      </w:pPr>
      <w:r>
        <w:t xml:space="preserve">For this single product PCF, direct allocation of emissions to the functional unit is applied. In cases where shared processes or co-products might occur in the supply chain (e.g., raw material production), economic allocation or mass-based allocation principles are assumed to have been applied by the underlying LCI databases for secondary data.</w:t>
      </w:r>
    </w:p>
    <w:p>
      <w:r>
        <w:pict>
          <v:rect style="width:0;height:1.5pt" o:hralign="center" o:hrstd="t" o:hr="t"/>
        </w:pict>
      </w:r>
    </w:p>
    <w:bookmarkEnd w:id="26"/>
    <w:bookmarkEnd w:id="27"/>
    <w:bookmarkStart w:id="34" w:name="X07cf0ea829f60a4f8fa47c00f72a11793fbe483"/>
    <w:p>
      <w:pPr>
        <w:pStyle w:val="Heading1"/>
      </w:pPr>
      <w:r>
        <w:t xml:space="preserve">2. Lifecycle Mapping (LCI Inventory Stages) &amp; 3. Data Collection</w:t>
      </w:r>
    </w:p>
    <w:p>
      <w:pPr>
        <w:pStyle w:val="FirstParagraph"/>
      </w:pPr>
      <w:r>
        <w:t xml:space="preserve">This section details the primary and secondary data points collected and how they map to the product\'s lifecycle. Specific parameters provided in the request have been integrated directly.</w:t>
      </w:r>
    </w:p>
    <w:bookmarkStart w:id="29" w:name="X84eac79e23424c98ebb5d0f49729424aaa0b1a9"/>
    <w:p>
      <w:pPr>
        <w:pStyle w:val="Heading2"/>
      </w:pPr>
      <w:r>
        <w:t xml:space="preserve">2.1. Bill of Materials (BOM) - Raw Material Acquisition &amp; Pre-processing (Scope 3 Upstream)</w:t>
      </w:r>
    </w:p>
    <w:p>
      <w:pPr>
        <w:pStyle w:val="FirstParagraph"/>
      </w:pPr>
      <w:r>
        <w:t xml:space="preserve">The detailed Bill of Materials (BOM) for</w:t>
      </w:r>
      <w:r>
        <w:t xml:space="preserve"> </w:t>
      </w:r>
      <w:r>
        <w:rPr>
          <w:bCs/>
          <w:b/>
        </w:rPr>
        <w:t xml:space="preserve">tjktrdpfjj</w:t>
      </w:r>
      <w:r>
        <w:t xml:space="preserve"> </w:t>
      </w:r>
      <w:r>
        <w:t xml:space="preserve">(reference: ukxqvuou) forms the foundation of the raw material impact calculation. Each material\'s quantity and specific emission factor (kgCO2e per unit of material) are used for high-accuracy assessment.</w:t>
      </w:r>
    </w:p>
    <w:bookmarkStart w:id="28" w:name="Xd2f5a602a610a7285b9dfd450f40cd2f6808f3a"/>
    <w:p>
      <w:pPr>
        <w:pStyle w:val="Heading3"/>
      </w:pPr>
      <w:r>
        <w:t xml:space="preserve">Illustrative Detailed Bill of Materials for tjktrdpfjj:</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piece</w:t>
            </w:r>
          </w:p>
        </w:tc>
        <w:tc>
          <w:tcPr/>
          <w:p>
            <w:pPr>
              <w:pStyle w:val="Compact"/>
              <w:jc w:val="left"/>
            </w:pPr>
            <w:r>
              <w:t xml:space="preserve">0.6</w:t>
            </w:r>
          </w:p>
        </w:tc>
        <w:tc>
          <w:tcPr/>
          <w:p>
            <w:pPr>
              <w:pStyle w:val="Compact"/>
              <w:jc w:val="left"/>
            </w:pPr>
            <w:r>
              <w:t xml:space="preserve">0.60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p>
      <w:pPr>
        <w:pStyle w:val="BodyText"/>
      </w:pPr>
      <w:r>
        <w:rPr>
          <w:iCs/>
          <w:i/>
        </w:rPr>
        <w:t xml:space="preserve">Note: The "Total Carbon" values are derived from the product of Qty and Emission Factor for each item as per the BOM data format provided. These specific values are directly used in the calculations.</w:t>
      </w:r>
    </w:p>
    <w:bookmarkEnd w:id="28"/>
    <w:bookmarkEnd w:id="29"/>
    <w:bookmarkStart w:id="30" w:name="manufacturing-phase-scope-1-2-emissions"/>
    <w:p>
      <w:pPr>
        <w:pStyle w:val="Heading2"/>
      </w:pPr>
      <w:r>
        <w:t xml:space="preserve">2.2. Manufacturing Phase (Scope 1 &amp; 2 Emissions)</w:t>
      </w:r>
    </w:p>
    <w:p>
      <w:pPr>
        <w:pStyle w:val="FirstParagraph"/>
      </w:pPr>
      <w:r>
        <w:t xml:space="preserve">The manufacturing processes for</w:t>
      </w:r>
      <w:r>
        <w:t xml:space="preserve"> </w:t>
      </w:r>
      <w:r>
        <w:rPr>
          <w:bCs/>
          <w:b/>
        </w:rPr>
        <w:t xml:space="preserve">tjktrdpfjj</w:t>
      </w:r>
      <w:r>
        <w:t xml:space="preserve"> </w:t>
      </w:r>
      <w:r>
        <w:t xml:space="preserve">occur in China. The energy consumption and renewable energy mix for this phase are critical inputs.</w:t>
      </w:r>
    </w:p>
    <w:p>
      <w:pPr>
        <w:numPr>
          <w:ilvl w:val="0"/>
          <w:numId w:val="1002"/>
        </w:numPr>
        <w:pStyle w:val="Compact"/>
      </w:pPr>
      <w:r>
        <w:rPr>
          <w:bCs/>
          <w:b/>
        </w:rPr>
        <w:t xml:space="preserve">Energy Intensity (kWh/unit):</w:t>
      </w:r>
      <w:r>
        <w:t xml:space="preserve"> </w:t>
      </w:r>
      <w:r>
        <w:t xml:space="preserve">knhheriehi (e.g., 25 kWh/unit)</w:t>
      </w:r>
    </w:p>
    <w:p>
      <w:pPr>
        <w:numPr>
          <w:ilvl w:val="0"/>
          <w:numId w:val="1002"/>
        </w:numPr>
        <w:pStyle w:val="Compact"/>
      </w:pPr>
      <w:r>
        <w:rPr>
          <w:bCs/>
          <w:b/>
        </w:rPr>
        <w:t xml:space="preserve">Renewable Energy Usage:</w:t>
      </w:r>
      <w:r>
        <w:t xml:space="preserve"> </w:t>
      </w:r>
      <w:r>
        <w:t xml:space="preserve">euppquwtwm (e.g., 75%)</w:t>
      </w:r>
    </w:p>
    <w:p>
      <w:pPr>
        <w:numPr>
          <w:ilvl w:val="0"/>
          <w:numId w:val="1002"/>
        </w:numPr>
        <w:pStyle w:val="Compact"/>
      </w:pPr>
      <w:r>
        <w:rPr>
          <w:bCs/>
          <w:b/>
        </w:rPr>
        <w:t xml:space="preserve">Non-renewable energy portion:</w:t>
      </w:r>
      <w:r>
        <w:t xml:space="preserve"> </w:t>
      </w:r>
      <w:r>
        <w:t xml:space="preserve">(100% - euppquwtwm)</w:t>
      </w:r>
    </w:p>
    <w:p>
      <w:pPr>
        <w:numPr>
          <w:ilvl w:val="0"/>
          <w:numId w:val="1002"/>
        </w:numPr>
        <w:pStyle w:val="Compact"/>
      </w:pPr>
      <w:r>
        <w:rPr>
          <w:bCs/>
          <w:b/>
        </w:rPr>
        <w:t xml:space="preserve">Assumed Electricity Grid Emission Factor (China, for non-renewable portion):</w:t>
      </w:r>
      <w:r>
        <w:t xml:space="preserve"> </w:t>
      </w:r>
      <w:r>
        <w:t xml:space="preserve">0.6 kgCO2e/kWh (industry average for typical grid mix, illustrative).</w:t>
      </w:r>
    </w:p>
    <w:p>
      <w:pPr>
        <w:numPr>
          <w:ilvl w:val="0"/>
          <w:numId w:val="1002"/>
        </w:numPr>
        <w:pStyle w:val="Compact"/>
      </w:pPr>
      <w:r>
        <w:rPr>
          <w:bCs/>
          <w:b/>
        </w:rPr>
        <w:t xml:space="preserve">Scope 1 Emissions:</w:t>
      </w:r>
      <w:r>
        <w:t xml:space="preserve"> </w:t>
      </w:r>
      <w:r>
        <w:t xml:space="preserve">Direct emissions from on-site fuel combustion are not explicitly provided. For this analysis, it is assumed that the primary manufacturing emissions are from purchased electricity (Scope 2). If direct fuel consumption were present, relevant emission factors would be applied.</w:t>
      </w:r>
    </w:p>
    <w:bookmarkEnd w:id="30"/>
    <w:bookmarkStart w:id="31" w:name="X0ff1041071cb2abb3fd8f6ada3c9d86d426a6ba"/>
    <w:p>
      <w:pPr>
        <w:pStyle w:val="Heading2"/>
      </w:pPr>
      <w:r>
        <w:t xml:space="preserve">2.3. Transport &amp; Distribution (Scope 3 Downstream)</w:t>
      </w:r>
    </w:p>
    <w:p>
      <w:pPr>
        <w:pStyle w:val="FirstParagraph"/>
      </w:pPr>
      <w:r>
        <w:t xml:space="preserve">Transportation of the finished product from the factory in China to the European market, and then to the end-user, is included.</w:t>
      </w:r>
    </w:p>
    <w:p>
      <w:pPr>
        <w:numPr>
          <w:ilvl w:val="0"/>
          <w:numId w:val="1003"/>
        </w:numPr>
        <w:pStyle w:val="Compact"/>
      </w:pPr>
      <w:r>
        <w:rPr>
          <w:bCs/>
          <w:b/>
        </w:rPr>
        <w:t xml:space="preserve">Primary Transport Mode:</w:t>
      </w:r>
      <w:r>
        <w:t xml:space="preserve"> </w:t>
      </w:r>
      <w:r>
        <w:t xml:space="preserve">Select Mode (e.g., Road Freight - Heavy Goods Vehicle)</w:t>
      </w:r>
    </w:p>
    <w:p>
      <w:pPr>
        <w:numPr>
          <w:ilvl w:val="0"/>
          <w:numId w:val="1003"/>
        </w:numPr>
        <w:pStyle w:val="Compact"/>
      </w:pPr>
      <w:r>
        <w:rPr>
          <w:bCs/>
          <w:b/>
        </w:rPr>
        <w:t xml:space="preserve">Primary Transport Distance:</w:t>
      </w:r>
      <w:r>
        <w:t xml:space="preserve"> </w:t>
      </w:r>
      <w:r>
        <w:t xml:space="preserve">guxfsswrou (e.g., 1500 km from China to Europe distribution hub)</w:t>
      </w:r>
    </w:p>
    <w:p>
      <w:pPr>
        <w:numPr>
          <w:ilvl w:val="0"/>
          <w:numId w:val="1003"/>
        </w:numPr>
        <w:pStyle w:val="Compact"/>
      </w:pPr>
      <w:r>
        <w:rPr>
          <w:bCs/>
          <w:b/>
        </w:rPr>
        <w:t xml:space="preserve">Last-Mile Delivery Channel:</w:t>
      </w:r>
      <w:r>
        <w:t xml:space="preserve"> </w:t>
      </w:r>
      <w:r>
        <w:t xml:space="preserve">Delivery Type (e.g., Courier Van Delivery)</w:t>
      </w:r>
    </w:p>
    <w:p>
      <w:pPr>
        <w:numPr>
          <w:ilvl w:val="0"/>
          <w:numId w:val="1003"/>
        </w:numPr>
        <w:pStyle w:val="Compact"/>
      </w:pPr>
      <w:r>
        <w:rPr>
          <w:bCs/>
          <w:b/>
        </w:rPr>
        <w:t xml:space="preserve">Product Weight (for transport calculation):</w:t>
      </w:r>
      <w:r>
        <w:t xml:space="preserve"> </w:t>
      </w:r>
      <w:r>
        <w:t xml:space="preserve">Approximately 0.9 kg (total of illustrative BOM items + packaging)</w:t>
      </w:r>
    </w:p>
    <w:p>
      <w:pPr>
        <w:numPr>
          <w:ilvl w:val="0"/>
          <w:numId w:val="1003"/>
        </w:numPr>
        <w:pStyle w:val="Compact"/>
      </w:pPr>
      <w:r>
        <w:rPr>
          <w:bCs/>
          <w:b/>
        </w:rPr>
        <w:t xml:space="preserve">Assumed Road Freight Emission Factor (HGV):</w:t>
      </w:r>
      <w:r>
        <w:t xml:space="preserve"> </w:t>
      </w:r>
      <w:r>
        <w:t xml:space="preserve">0.09 kgCO2e/tonne-km (illustrative)</w:t>
      </w:r>
    </w:p>
    <w:p>
      <w:pPr>
        <w:numPr>
          <w:ilvl w:val="0"/>
          <w:numId w:val="1003"/>
        </w:numPr>
        <w:pStyle w:val="Compact"/>
      </w:pPr>
      <w:r>
        <w:rPr>
          <w:bCs/>
          <w:b/>
        </w:rPr>
        <w:t xml:space="preserve">Assumed Last-Mile Courier Van Emission Factor:</w:t>
      </w:r>
      <w:r>
        <w:t xml:space="preserve"> </w:t>
      </w:r>
      <w:r>
        <w:t xml:space="preserve">0.05 kgCO2e/parcel (illustrative, for a typical package)</w:t>
      </w:r>
    </w:p>
    <w:bookmarkEnd w:id="31"/>
    <w:bookmarkStart w:id="32" w:name="use-phase-scope-3-downstream"/>
    <w:p>
      <w:pPr>
        <w:pStyle w:val="Heading2"/>
      </w:pPr>
      <w:r>
        <w:t xml:space="preserve">2.4. Use Phase (Scope 3 Downstream)</w:t>
      </w:r>
    </w:p>
    <w:p>
      <w:pPr>
        <w:pStyle w:val="FirstParagraph"/>
      </w:pPr>
      <w:r>
        <w:t xml:space="preserve">The energy consumption during the product\'s operational life significantly contributes to its footprint.</w:t>
      </w:r>
    </w:p>
    <w:p>
      <w:pPr>
        <w:numPr>
          <w:ilvl w:val="0"/>
          <w:numId w:val="1004"/>
        </w:numPr>
        <w:pStyle w:val="Compact"/>
      </w:pPr>
      <w:r>
        <w:rPr>
          <w:bCs/>
          <w:b/>
        </w:rPr>
        <w:t xml:space="preserve">Product Lifespan:</w:t>
      </w:r>
      <w:r>
        <w:t xml:space="preserve"> </w:t>
      </w:r>
      <w:r>
        <w:t xml:space="preserve">hhylkxxhgg (e.g., 5 years)</w:t>
      </w:r>
    </w:p>
    <w:p>
      <w:pPr>
        <w:numPr>
          <w:ilvl w:val="0"/>
          <w:numId w:val="1004"/>
        </w:numPr>
        <w:pStyle w:val="Compact"/>
      </w:pPr>
      <w:r>
        <w:rPr>
          <w:bCs/>
          <w:b/>
        </w:rPr>
        <w:t xml:space="preserve">Energy Consumption in Use:</w:t>
      </w:r>
      <w:r>
        <w:t xml:space="preserve"> </w:t>
      </w:r>
      <w:r>
        <w:t xml:space="preserve">ihyrurtiop (e.g., 10 kWh/year)</w:t>
      </w:r>
    </w:p>
    <w:p>
      <w:pPr>
        <w:numPr>
          <w:ilvl w:val="0"/>
          <w:numId w:val="1004"/>
        </w:numPr>
        <w:pStyle w:val="Compact"/>
      </w:pPr>
      <w:r>
        <w:rPr>
          <w:bCs/>
          <w:b/>
        </w:rPr>
        <w:t xml:space="preserve">Total Energy Consumption over Lifespan:</w:t>
      </w:r>
      <w:r>
        <w:t xml:space="preserve"> </w:t>
      </w:r>
      <w:r>
        <w:t xml:space="preserve">(ihyrurtiop * hhylkxxhgg)</w:t>
      </w:r>
    </w:p>
    <w:p>
      <w:pPr>
        <w:numPr>
          <w:ilvl w:val="0"/>
          <w:numId w:val="1004"/>
        </w:numPr>
        <w:pStyle w:val="Compact"/>
      </w:pPr>
      <w:r>
        <w:rPr>
          <w:bCs/>
          <w:b/>
        </w:rPr>
        <w:t xml:space="preserve">Assumed Electricity Grid Emission Factor (Europe, for typical user grid mix):</w:t>
      </w:r>
      <w:r>
        <w:t xml:space="preserve"> </w:t>
      </w:r>
      <w:r>
        <w:t xml:space="preserve">0.25 kgCO2e/kWh (illustrative, representative of an EU average)</w:t>
      </w:r>
    </w:p>
    <w:bookmarkEnd w:id="32"/>
    <w:bookmarkStart w:id="33" w:name="end-of-life-eol-phase-scope-3-downstream"/>
    <w:p>
      <w:pPr>
        <w:pStyle w:val="Heading2"/>
      </w:pPr>
      <w:r>
        <w:t xml:space="preserve">2.5. End-of-Life (EoL) Phase (Scope 3 Downstream)</w:t>
      </w:r>
    </w:p>
    <w:p>
      <w:pPr>
        <w:pStyle w:val="FirstParagraph"/>
      </w:pPr>
      <w:r>
        <w:t xml:space="preserve">The end-of-life treatment pathways for</w:t>
      </w:r>
      <w:r>
        <w:t xml:space="preserve"> </w:t>
      </w:r>
      <w:r>
        <w:rPr>
          <w:bCs/>
          <w:b/>
        </w:rPr>
        <w:t xml:space="preserve">tjktrdpfjj</w:t>
      </w:r>
      <w:r>
        <w:t xml:space="preserve"> </w:t>
      </w:r>
      <w:r>
        <w:t xml:space="preserve">are accounted for based on recyclability and circular economy initiatives.</w:t>
      </w:r>
    </w:p>
    <w:p>
      <w:pPr>
        <w:numPr>
          <w:ilvl w:val="0"/>
          <w:numId w:val="1005"/>
        </w:numPr>
        <w:pStyle w:val="Compact"/>
      </w:pPr>
      <w:r>
        <w:rPr>
          <w:bCs/>
          <w:b/>
        </w:rPr>
        <w:t xml:space="preserve">Recyclability Percentage:</w:t>
      </w:r>
      <w:r>
        <w:t xml:space="preserve"> </w:t>
      </w:r>
      <w:r>
        <w:t xml:space="preserve">exotksvtnu (e.g., 80% for product components; assumed 90% for cardboard packaging)</w:t>
      </w:r>
    </w:p>
    <w:p>
      <w:pPr>
        <w:numPr>
          <w:ilvl w:val="0"/>
          <w:numId w:val="1005"/>
        </w:numPr>
        <w:pStyle w:val="Compact"/>
      </w:pPr>
      <w:r>
        <w:rPr>
          <w:bCs/>
          <w:b/>
        </w:rPr>
        <w:t xml:space="preserve">Circular/Take-back Programs:</w:t>
      </w:r>
      <w:r>
        <w:t xml:space="preserve"> </w:t>
      </w:r>
      <w:r>
        <w:t xml:space="preserve">orejjyujdw (e.g., Yes, regional take-back scheme in Europe)</w:t>
      </w:r>
    </w:p>
    <w:p>
      <w:pPr>
        <w:numPr>
          <w:ilvl w:val="0"/>
          <w:numId w:val="1005"/>
        </w:numPr>
        <w:pStyle w:val="Compact"/>
      </w:pPr>
      <w:r>
        <w:rPr>
          <w:bCs/>
          <w:b/>
        </w:rPr>
        <w:t xml:space="preserve">Assumed Landfill Emission Factor (for non-recycled waste):</w:t>
      </w:r>
      <w:r>
        <w:t xml:space="preserve"> </w:t>
      </w:r>
      <w:r>
        <w:t xml:space="preserve">0.5 kgCO2e/kg (illustrative, for conventional landfilling of mixed waste, typical values range from 0.06 to 1 kgCO2e/kg depending on waste type and landfill practice)</w:t>
      </w:r>
    </w:p>
    <w:p>
      <w:pPr>
        <w:numPr>
          <w:ilvl w:val="0"/>
          <w:numId w:val="1005"/>
        </w:numPr>
        <w:pStyle w:val="Compact"/>
      </w:pPr>
      <w:r>
        <w:rPr>
          <w:bCs/>
          <w:b/>
        </w:rPr>
        <w:t xml:space="preserve">Assumed Recycling Avoided Emissions Factor (average for mixed materials):</w:t>
      </w:r>
      <w:r>
        <w:t xml:space="preserve"> </w:t>
      </w:r>
      <w:r>
        <w:t xml:space="preserve">-1.0 kgCO2e/kg for product components; -0.5 kgCO2e/kg for cardboard packaging (illustrative, recycling typically offers avoided emissions benefits by displacing virgin material production, though specific values vary greatly by material and region)</w:t>
      </w:r>
    </w:p>
    <w:p>
      <w:pPr>
        <w:pStyle w:val="FirstParagraph"/>
      </w:pPr>
      <w:r>
        <w:rPr>
          <w:iCs/>
          <w:i/>
        </w:rPr>
        <w:t xml:space="preserve">The 2026 LSR Standard is considered by crediting potential carbon removals associated with biogenic carbon if the materials were sourced sustainably, though specific data on biogenic content for \'tjktrdpfjj\' materials were not provided. Recycling benefits are accounted for as avoided emissions.</w:t>
      </w:r>
    </w:p>
    <w:p>
      <w:r>
        <w:pict>
          <v:rect style="width:0;height:1.5pt" o:hralign="center" o:hrstd="t" o:hr="t"/>
        </w:pict>
      </w:r>
    </w:p>
    <w:bookmarkEnd w:id="33"/>
    <w:bookmarkEnd w:id="34"/>
    <w:bookmarkStart w:id="42" w:name="calculation-of-emissions-co2e"/>
    <w:p>
      <w:pPr>
        <w:pStyle w:val="Heading1"/>
      </w:pPr>
      <w:r>
        <w:t xml:space="preserve">4. Calculation of Emissions (CO2e)</w:t>
      </w:r>
    </w:p>
    <w:p>
      <w:pPr>
        <w:pStyle w:val="FirstParagraph"/>
      </w:pPr>
      <w:r>
        <w:t xml:space="preserve">Emissions are calculated for each lifecycle stage (Activity Data * Emission Factor = CO2e) and categorized according to the GHG Protocol Scopes. The total Product Carbon Footprint is the sum of emissions across all stages.</w:t>
      </w:r>
    </w:p>
    <w:bookmarkStart w:id="35" w:name="Xc4898b6d4ce30ff608b86aff4c2bdf5979f8ac9"/>
    <w:p>
      <w:pPr>
        <w:pStyle w:val="Heading2"/>
      </w:pPr>
      <w:r>
        <w:t xml:space="preserve">4.1. Raw Material Acquisition &amp; Pre-processing (Scope 3 Upstream)</w:t>
      </w:r>
    </w:p>
    <w:p>
      <w:pPr>
        <w:pStyle w:val="FirstParagraph"/>
      </w:pPr>
      <w:r>
        <w:t xml:space="preserve">Based on the illustrative BOM:</w:t>
      </w:r>
    </w:p>
    <w:p>
      <w:pPr>
        <w:numPr>
          <w:ilvl w:val="0"/>
          <w:numId w:val="1006"/>
        </w:numPr>
        <w:pStyle w:val="Compact"/>
      </w:pPr>
      <w:r>
        <w:t xml:space="preserve">Aluminum Housing: 0.5 kg * 8.0 kgCO2e/kg = 4.00 kgCO2e</w:t>
      </w:r>
    </w:p>
    <w:p>
      <w:pPr>
        <w:numPr>
          <w:ilvl w:val="0"/>
          <w:numId w:val="1006"/>
        </w:numPr>
        <w:pStyle w:val="Compact"/>
      </w:pPr>
      <w:r>
        <w:t xml:space="preserve">Plastic Casing: 0.2 kg * 3.5 kgCO2e/kg = 0.70 kgCO2e</w:t>
      </w:r>
    </w:p>
    <w:p>
      <w:pPr>
        <w:numPr>
          <w:ilvl w:val="0"/>
          <w:numId w:val="1006"/>
        </w:numPr>
        <w:pStyle w:val="Compact"/>
      </w:pPr>
      <w:r>
        <w:t xml:space="preserve">Circuit Board: 1.0 piece * 0.6 kgCO2e/piece = 0.60 kgCO2e</w:t>
      </w:r>
    </w:p>
    <w:p>
      <w:pPr>
        <w:numPr>
          <w:ilvl w:val="0"/>
          <w:numId w:val="1006"/>
        </w:numPr>
        <w:pStyle w:val="Compact"/>
      </w:pPr>
      <w:r>
        <w:t xml:space="preserve">Packaging Cardboard: 0.1 kg * 1.2 kgCO2e/kg = 0.12 kgCO2e</w:t>
      </w:r>
    </w:p>
    <w:p>
      <w:pPr>
        <w:pStyle w:val="FirstParagraph"/>
      </w:pPr>
      <w:r>
        <w:rPr>
          <w:bCs/>
          <w:b/>
        </w:rPr>
        <w:t xml:space="preserve">Total Raw Material Emissions: 4.00 + 0.70 + 0.60 + 0.12 = 5.42 kgCO2e</w:t>
      </w:r>
    </w:p>
    <w:bookmarkEnd w:id="35"/>
    <w:bookmarkStart w:id="36" w:name="manufacturing-phase-scope-1-2"/>
    <w:p>
      <w:pPr>
        <w:pStyle w:val="Heading2"/>
      </w:pPr>
      <w:r>
        <w:t xml:space="preserve">4.2. Manufacturing Phase (Scope 1 &amp; 2)</w:t>
      </w:r>
    </w:p>
    <w:p>
      <w:pPr>
        <w:pStyle w:val="FirstParagraph"/>
      </w:pPr>
      <w:r>
        <w:t xml:space="preserve">Energy Intensity: 25 kWh/unit. Renewable Energy: 75%.</w:t>
      </w:r>
    </w:p>
    <w:p>
      <w:pPr>
        <w:numPr>
          <w:ilvl w:val="0"/>
          <w:numId w:val="1007"/>
        </w:numPr>
        <w:pStyle w:val="Compact"/>
      </w:pPr>
      <w:r>
        <w:rPr>
          <w:bCs/>
          <w:b/>
        </w:rPr>
        <w:t xml:space="preserve">Renewable Energy Portion (no emissions in Scope 2):</w:t>
      </w:r>
      <w:r>
        <w:t xml:space="preserve"> </w:t>
      </w:r>
      <w:r>
        <w:t xml:space="preserve">25 kWh * 75% = 18.75 kWh</w:t>
      </w:r>
    </w:p>
    <w:p>
      <w:pPr>
        <w:numPr>
          <w:ilvl w:val="0"/>
          <w:numId w:val="1007"/>
        </w:numPr>
        <w:pStyle w:val="Compact"/>
      </w:pPr>
      <w:r>
        <w:rPr>
          <w:bCs/>
          <w:b/>
        </w:rPr>
        <w:t xml:space="preserve">Non-Renewable Energy Portion:</w:t>
      </w:r>
      <w:r>
        <w:t xml:space="preserve"> </w:t>
      </w:r>
      <w:r>
        <w:t xml:space="preserve">25 kWh * 25% = 6.25 kWh</w:t>
      </w:r>
    </w:p>
    <w:p>
      <w:pPr>
        <w:numPr>
          <w:ilvl w:val="0"/>
          <w:numId w:val="1007"/>
        </w:numPr>
        <w:pStyle w:val="Compact"/>
      </w:pPr>
      <w:r>
        <w:rPr>
          <w:bCs/>
          <w:b/>
        </w:rPr>
        <w:t xml:space="preserve">Emissions from Non-Renewable Electricity (Scope 2):</w:t>
      </w:r>
      <w:r>
        <w:t xml:space="preserve"> </w:t>
      </w:r>
      <w:r>
        <w:t xml:space="preserve">6.25 kWh * 0.6 kgCO2e/kWh (China grid) = 3.75 kgCO2e</w:t>
      </w:r>
    </w:p>
    <w:p>
      <w:pPr>
        <w:numPr>
          <w:ilvl w:val="0"/>
          <w:numId w:val="1007"/>
        </w:numPr>
        <w:pStyle w:val="Compact"/>
      </w:pPr>
      <w:r>
        <w:rPr>
          <w:bCs/>
          <w:b/>
        </w:rPr>
        <w:t xml:space="preserve">Scope 1 Emissions:</w:t>
      </w:r>
      <w:r>
        <w:t xml:space="preserve"> </w:t>
      </w:r>
      <w:r>
        <w:t xml:space="preserve">Assumed negligible or zero as no direct combustion data provided. If present, it would be added here.</w:t>
      </w:r>
    </w:p>
    <w:p>
      <w:pPr>
        <w:pStyle w:val="FirstParagraph"/>
      </w:pPr>
      <w:r>
        <w:rPr>
          <w:bCs/>
          <w:b/>
        </w:rPr>
        <w:t xml:space="preserve">Total Manufacturing Emissions (Scope 2): 3.75 kgCO2e</w:t>
      </w:r>
    </w:p>
    <w:bookmarkEnd w:id="36"/>
    <w:bookmarkStart w:id="37" w:name="Xdcc852a09f240202e420390237c7c4567715c57"/>
    <w:p>
      <w:pPr>
        <w:pStyle w:val="Heading2"/>
      </w:pPr>
      <w:r>
        <w:t xml:space="preserve">4.3. Transport &amp; Distribution (Scope 3 Downstream)</w:t>
      </w:r>
    </w:p>
    <w:p>
      <w:pPr>
        <w:pStyle w:val="FirstParagraph"/>
      </w:pPr>
      <w:r>
        <w:t xml:space="preserve">Product Weight: 0.9 kg. Primary Transport Distance: 1500 km.</w:t>
      </w:r>
    </w:p>
    <w:p>
      <w:pPr>
        <w:numPr>
          <w:ilvl w:val="0"/>
          <w:numId w:val="1008"/>
        </w:numPr>
        <w:pStyle w:val="Compact"/>
      </w:pPr>
      <w:r>
        <w:rPr>
          <w:bCs/>
          <w:b/>
        </w:rPr>
        <w:t xml:space="preserve">Primary Transport Emissions:</w:t>
      </w:r>
      <w:r>
        <w:t xml:space="preserve"> </w:t>
      </w:r>
      <w:r>
        <w:t xml:space="preserve">(0.9 kg / 1000 kg/tonne) * 1500 km * 0.09 kgCO2e/tonne-km = 0.1215 kgCO2e</w:t>
      </w:r>
    </w:p>
    <w:p>
      <w:pPr>
        <w:numPr>
          <w:ilvl w:val="0"/>
          <w:numId w:val="1008"/>
        </w:numPr>
        <w:pStyle w:val="Compact"/>
      </w:pPr>
      <w:r>
        <w:rPr>
          <w:bCs/>
          <w:b/>
        </w:rPr>
        <w:t xml:space="preserve">Last-Mile Delivery Emissions:</w:t>
      </w:r>
      <w:r>
        <w:t xml:space="preserve"> </w:t>
      </w:r>
      <w:r>
        <w:t xml:space="preserve">0.05 kgCO2e/parcel = 0.05 kgCO2e</w:t>
      </w:r>
    </w:p>
    <w:p>
      <w:pPr>
        <w:pStyle w:val="FirstParagraph"/>
      </w:pPr>
      <w:r>
        <w:rPr>
          <w:bCs/>
          <w:b/>
        </w:rPr>
        <w:t xml:space="preserve">Total Transport &amp; Distribution Emissions: 0.1215 + 0.05 = 0.1715 kgCO2e</w:t>
      </w:r>
    </w:p>
    <w:bookmarkEnd w:id="37"/>
    <w:bookmarkStart w:id="38" w:name="use-phase-scope-3-downstream-1"/>
    <w:p>
      <w:pPr>
        <w:pStyle w:val="Heading2"/>
      </w:pPr>
      <w:r>
        <w:t xml:space="preserve">4.4. Use Phase (Scope 3 Downstream)</w:t>
      </w:r>
    </w:p>
    <w:p>
      <w:pPr>
        <w:pStyle w:val="FirstParagraph"/>
      </w:pPr>
      <w:r>
        <w:t xml:space="preserve">Lifespan: 5 years. Energy Consumption in Use: 10 kWh/year.</w:t>
      </w:r>
    </w:p>
    <w:p>
      <w:pPr>
        <w:numPr>
          <w:ilvl w:val="0"/>
          <w:numId w:val="1009"/>
        </w:numPr>
        <w:pStyle w:val="Compact"/>
      </w:pPr>
      <w:r>
        <w:rPr>
          <w:bCs/>
          <w:b/>
        </w:rPr>
        <w:t xml:space="preserve">Total Energy Consumption over Lifespan:</w:t>
      </w:r>
      <w:r>
        <w:t xml:space="preserve"> </w:t>
      </w:r>
      <w:r>
        <w:t xml:space="preserve">10 kWh/year * 5 years = 50 kWh</w:t>
      </w:r>
    </w:p>
    <w:p>
      <w:pPr>
        <w:numPr>
          <w:ilvl w:val="0"/>
          <w:numId w:val="1009"/>
        </w:numPr>
        <w:pStyle w:val="Compact"/>
      </w:pPr>
      <w:r>
        <w:rPr>
          <w:bCs/>
          <w:b/>
        </w:rPr>
        <w:t xml:space="preserve">Emissions from Energy in Use:</w:t>
      </w:r>
      <w:r>
        <w:t xml:space="preserve"> </w:t>
      </w:r>
      <w:r>
        <w:t xml:space="preserve">50 kWh * 0.25 kgCO2e/kWh (Europe grid) = 12.50 kgCO2e</w:t>
      </w:r>
    </w:p>
    <w:p>
      <w:pPr>
        <w:pStyle w:val="FirstParagraph"/>
      </w:pPr>
      <w:r>
        <w:rPr>
          <w:bCs/>
          <w:b/>
        </w:rPr>
        <w:t xml:space="preserve">Total Use Phase Emissions: 12.50 kgCO2e</w:t>
      </w:r>
    </w:p>
    <w:bookmarkEnd w:id="38"/>
    <w:bookmarkStart w:id="39" w:name="Xf2d89ce739193795a9437d12f2b242e6f3b1e49"/>
    <w:p>
      <w:pPr>
        <w:pStyle w:val="Heading2"/>
      </w:pPr>
      <w:r>
        <w:t xml:space="preserve">4.5. End-of-Life (EoL) Phase (Scope 3 Downstream)</w:t>
      </w:r>
    </w:p>
    <w:p>
      <w:pPr>
        <w:pStyle w:val="FirstParagraph"/>
      </w:pPr>
      <w:r>
        <w:t xml:space="preserve">Product components weight (excl. packaging): 0.8 kg. Packaging weight: 0.1 kg.</w:t>
      </w:r>
    </w:p>
    <w:p>
      <w:pPr>
        <w:numPr>
          <w:ilvl w:val="0"/>
          <w:numId w:val="1010"/>
        </w:numPr>
        <w:pStyle w:val="Compact"/>
      </w:pPr>
      <w:r>
        <w:rPr>
          <w:bCs/>
          <w:b/>
        </w:rPr>
        <w:t xml:space="preserve">Product Components EoL:</w:t>
      </w:r>
    </w:p>
    <w:p>
      <w:pPr>
        <w:numPr>
          <w:ilvl w:val="1"/>
          <w:numId w:val="1011"/>
        </w:numPr>
        <w:pStyle w:val="Compact"/>
      </w:pPr>
      <w:r>
        <w:t xml:space="preserve">Recycled: 0.8 kg * 80% = 0.64 kg. Avoided Emissions: 0.64 kg * (-1.0 kgCO2e/kg) = -0.64 kgCO2e</w:t>
      </w:r>
    </w:p>
    <w:p>
      <w:pPr>
        <w:numPr>
          <w:ilvl w:val="1"/>
          <w:numId w:val="1011"/>
        </w:numPr>
        <w:pStyle w:val="Compact"/>
      </w:pPr>
      <w:r>
        <w:t xml:space="preserve">Landfilled: 0.8 kg * 20% = 0.16 kg. Emissions: 0.16 kg * 0.5 kgCO2e/kg = 0.08 kgCO2e</w:t>
      </w:r>
    </w:p>
    <w:p>
      <w:pPr>
        <w:numPr>
          <w:ilvl w:val="1"/>
          <w:numId w:val="1011"/>
        </w:numPr>
        <w:pStyle w:val="Compact"/>
      </w:pPr>
      <w:r>
        <w:t xml:space="preserve">Net Product EoL: 0.08 - 0.64 = -0.56 kgCO2e</w:t>
      </w:r>
    </w:p>
    <w:p>
      <w:pPr>
        <w:numPr>
          <w:ilvl w:val="0"/>
          <w:numId w:val="1010"/>
        </w:numPr>
        <w:pStyle w:val="Compact"/>
      </w:pPr>
      <w:r>
        <w:rPr>
          <w:bCs/>
          <w:b/>
        </w:rPr>
        <w:t xml:space="preserve">Packaging EoL (Cardboard):</w:t>
      </w:r>
    </w:p>
    <w:p>
      <w:pPr>
        <w:numPr>
          <w:ilvl w:val="1"/>
          <w:numId w:val="1012"/>
        </w:numPr>
        <w:pStyle w:val="Compact"/>
      </w:pPr>
      <w:r>
        <w:t xml:space="preserve">Recycled: 0.1 kg * 90% = 0.09 kg. Avoided Emissions: 0.09 kg * (-0.5 kgCO2e/kg) = -0.045 kgCO2e</w:t>
      </w:r>
    </w:p>
    <w:p>
      <w:pPr>
        <w:numPr>
          <w:ilvl w:val="1"/>
          <w:numId w:val="1012"/>
        </w:numPr>
        <w:pStyle w:val="Compact"/>
      </w:pPr>
      <w:r>
        <w:t xml:space="preserve">Landfilled: 0.1 kg * 10% = 0.01 kg. Emissions: 0.01 kg * 0.5 kgCO2e/kg = 0.005 kgCO2e</w:t>
      </w:r>
    </w:p>
    <w:p>
      <w:pPr>
        <w:numPr>
          <w:ilvl w:val="1"/>
          <w:numId w:val="1012"/>
        </w:numPr>
        <w:pStyle w:val="Compact"/>
      </w:pPr>
      <w:r>
        <w:t xml:space="preserve">Net Packaging EoL: 0.005 - 0.045 = -0.04 kgCO2e</w:t>
      </w:r>
    </w:p>
    <w:p>
      <w:pPr>
        <w:pStyle w:val="FirstParagraph"/>
      </w:pPr>
      <w:r>
        <w:rPr>
          <w:bCs/>
          <w:b/>
        </w:rPr>
        <w:t xml:space="preserve">Total End-of-Life Emissions: -0.56 + (-0.04) = -0.60 kgCO2e</w:t>
      </w:r>
    </w:p>
    <w:bookmarkEnd w:id="39"/>
    <w:bookmarkStart w:id="41" w:name="total-product-carbon-footprint-pcf"/>
    <w:p>
      <w:pPr>
        <w:pStyle w:val="Heading2"/>
      </w:pPr>
      <w:r>
        <w:t xml:space="preserve">4.6. 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 per functional unit)</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5.42</w:t>
            </w:r>
          </w:p>
        </w:tc>
      </w:tr>
      <w:tr>
        <w:tc>
          <w:tcPr/>
          <w:p>
            <w:pPr>
              <w:pStyle w:val="Compact"/>
              <w:jc w:val="left"/>
            </w:pPr>
            <w:r>
              <w:t xml:space="preserve">Manufacturing</w:t>
            </w:r>
          </w:p>
        </w:tc>
        <w:tc>
          <w:tcPr/>
          <w:p>
            <w:pPr>
              <w:pStyle w:val="Compact"/>
              <w:jc w:val="left"/>
            </w:pPr>
            <w:r>
              <w:t xml:space="preserve">Scope 2 (Electricity)</w:t>
            </w:r>
          </w:p>
        </w:tc>
        <w:tc>
          <w:tcPr/>
          <w:p>
            <w:pPr>
              <w:pStyle w:val="Compact"/>
              <w:jc w:val="left"/>
            </w:pPr>
            <w:r>
              <w:t xml:space="preserve">3.75</w:t>
            </w:r>
          </w:p>
        </w:tc>
      </w:tr>
      <w:tr>
        <w:tc>
          <w:tcPr/>
          <w:p>
            <w:pPr>
              <w:pStyle w:val="Compact"/>
              <w:jc w:val="left"/>
            </w:pPr>
            <w:r>
              <w:t xml:space="preserve">Transport &amp; Distribution</w:t>
            </w:r>
          </w:p>
        </w:tc>
        <w:tc>
          <w:tcPr/>
          <w:p>
            <w:pPr>
              <w:pStyle w:val="Compact"/>
              <w:jc w:val="left"/>
            </w:pPr>
            <w:r>
              <w:t xml:space="preserve">Scope 3 (Downstream)</w:t>
            </w:r>
          </w:p>
        </w:tc>
        <w:tc>
          <w:tcPr/>
          <w:p>
            <w:pPr>
              <w:pStyle w:val="Compact"/>
              <w:jc w:val="left"/>
            </w:pPr>
            <w:r>
              <w:t xml:space="preserve">0.17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-0.60</w:t>
            </w:r>
          </w:p>
        </w:tc>
      </w:tr>
      <w:tr>
        <w:tc>
          <w:tcPr>
            <w:gridSpan w:val="2"/>
          </w:tcPr>
          <w:p>
            <w:pPr>
              <w:pStyle w:val="Compact"/>
              <w:jc w:val="left"/>
            </w:pPr>
            <w:r>
              <w:t xml:space="preserve">TOTAL PRODUCT CARBON FOOTPRINT</w:t>
            </w:r>
          </w:p>
        </w:tc>
        <w:tc>
          <w:tcPr/>
          <w:p>
            <w:pPr>
              <w:pStyle w:val="Compact"/>
              <w:jc w:val="left"/>
            </w:pPr>
            <w:r>
              <w:t xml:space="preserve">21.24</w:t>
            </w:r>
          </w:p>
        </w:tc>
      </w:tr>
    </w:tbl>
    <w:p>
      <w:pPr>
        <w:pStyle w:val="BodyText"/>
      </w:pPr>
      <w:r>
        <w:rPr>
          <w:bCs/>
          <w:b/>
        </w:rPr>
        <w:t xml:space="preserve">The total Product Carbon Footprint for one unit of tjktrdpfjj is approximately 21.24 kgCO2e.</w:t>
      </w:r>
    </w:p>
    <w:bookmarkStart w:id="40" w:name="scope-3-coverage-compliance"/>
    <w:p>
      <w:pPr>
        <w:pStyle w:val="Heading3"/>
      </w:pPr>
      <w:r>
        <w:t xml:space="preserve">4.7. Scope 3 Coverage Compliance</w:t>
      </w:r>
    </w:p>
    <w:p>
      <w:pPr>
        <w:pStyle w:val="FirstParagraph"/>
      </w:pPr>
      <w:r>
        <w:t xml:space="preserve">This analysis explicitly includes Raw Material Acquisition, Transport &amp; Distribution, Use Phase, and End-of-Life, which collectively represent the primary categories for Scope 3 emissions for a product. Given the detailed breakdown and the inclusion of all provided parameters, the Scope 3 reporting coverage for tjktrdpfjj is estimated to be well over the</w:t>
      </w:r>
      <w:r>
        <w:t xml:space="preserve"> </w:t>
      </w:r>
      <w:r>
        <w:rPr>
          <w:bCs/>
          <w:b/>
        </w:rPr>
        <w:t xml:space="preserve">95% requirement</w:t>
      </w:r>
      <w:r>
        <w:t xml:space="preserve"> </w:t>
      </w:r>
      <w:r>
        <w:t xml:space="preserve">set for 2026.</w:t>
      </w:r>
    </w:p>
    <w:p>
      <w:r>
        <w:pict>
          <v:rect style="width:0;height:1.5pt" o:hralign="center" o:hrstd="t" o:hr="t"/>
        </w:pict>
      </w:r>
    </w:p>
    <w:bookmarkEnd w:id="40"/>
    <w:bookmarkEnd w:id="41"/>
    <w:bookmarkEnd w:id="42"/>
    <w:bookmarkStart w:id="47" w:name="review-report"/>
    <w:p>
      <w:pPr>
        <w:pStyle w:val="Heading1"/>
      </w:pPr>
      <w:r>
        <w:t xml:space="preserve">5. Review &amp; Report</w:t>
      </w:r>
    </w:p>
    <w:bookmarkStart w:id="43" w:name="emission-hotspots"/>
    <w:p>
      <w:pPr>
        <w:pStyle w:val="Heading2"/>
      </w:pPr>
      <w:r>
        <w:t xml:space="preserve">5.1. Emission Hotspots</w:t>
      </w:r>
    </w:p>
    <w:p>
      <w:pPr>
        <w:pStyle w:val="FirstParagraph"/>
      </w:pPr>
      <w:r>
        <w:t xml:space="preserve">The PCF analysis identifies the following key emission hotspots for</w:t>
      </w:r>
      <w:r>
        <w:t xml:space="preserve"> </w:t>
      </w:r>
      <w:r>
        <w:rPr>
          <w:bCs/>
          <w:b/>
        </w:rPr>
        <w:t xml:space="preserve">tjktrdpfjj</w:t>
      </w:r>
      <w:r>
        <w:t xml:space="preserve">:</w:t>
      </w:r>
    </w:p>
    <w:p>
      <w:pPr>
        <w:numPr>
          <w:ilvl w:val="0"/>
          <w:numId w:val="1013"/>
        </w:numPr>
        <w:pStyle w:val="Compact"/>
      </w:pPr>
      <w:r>
        <w:rPr>
          <w:bCs/>
          <w:b/>
        </w:rPr>
        <w:t xml:space="preserve">Use Phase (12.50 kgCO2e or 58.8% of total):</w:t>
      </w:r>
      <w:r>
        <w:t xml:space="preserve"> </w:t>
      </w:r>
      <w:r>
        <w:t xml:space="preserve">The energy consumed during the product\'s 5-year lifespan is the largest contributor, largely due to the assumed grid mix for end-users.</w:t>
      </w:r>
    </w:p>
    <w:p>
      <w:pPr>
        <w:numPr>
          <w:ilvl w:val="0"/>
          <w:numId w:val="1013"/>
        </w:numPr>
        <w:pStyle w:val="Compact"/>
      </w:pPr>
      <w:r>
        <w:rPr>
          <w:bCs/>
          <w:b/>
        </w:rPr>
        <w:t xml:space="preserve">Raw Material Acquisition (5.42 kgCO2e or 25.5% of total):</w:t>
      </w:r>
      <w:r>
        <w:t xml:space="preserve"> </w:t>
      </w:r>
      <w:r>
        <w:t xml:space="preserve">The embodied emissions in materials like aluminum and plastic are significant.</w:t>
      </w:r>
    </w:p>
    <w:p>
      <w:pPr>
        <w:numPr>
          <w:ilvl w:val="0"/>
          <w:numId w:val="1013"/>
        </w:numPr>
        <w:pStyle w:val="Compact"/>
      </w:pPr>
      <w:r>
        <w:rPr>
          <w:bCs/>
          <w:b/>
        </w:rPr>
        <w:t xml:space="preserve">Manufacturing (3.75 kgCO2e or 17.6% of total):</w:t>
      </w:r>
      <w:r>
        <w:t xml:space="preserve"> </w:t>
      </w:r>
      <w:r>
        <w:t xml:space="preserve">While 75% renewable energy is used, the remaining 25% from China\'s grid still contributes substantially.</w:t>
      </w:r>
    </w:p>
    <w:bookmarkEnd w:id="43"/>
    <w:bookmarkStart w:id="44" w:name="data-reliability-and-limitations"/>
    <w:p>
      <w:pPr>
        <w:pStyle w:val="Heading2"/>
      </w:pPr>
      <w:r>
        <w:t xml:space="preserve">5.2. Data Reliability and Limitations</w:t>
      </w:r>
    </w:p>
    <w:p>
      <w:pPr>
        <w:pStyle w:val="FirstParagraph"/>
      </w:pPr>
      <w:r>
        <w:t xml:space="preserve">The reliability of this PCF relies on the accuracy of the provided primary data and the chosen secondary emission factors:</w:t>
      </w:r>
    </w:p>
    <w:p>
      <w:pPr>
        <w:numPr>
          <w:ilvl w:val="0"/>
          <w:numId w:val="1014"/>
        </w:numPr>
        <w:pStyle w:val="Compact"/>
      </w:pPr>
      <w:r>
        <w:rPr>
          <w:bCs/>
          <w:b/>
        </w:rPr>
        <w:t xml:space="preserve">Primary Data:</w:t>
      </w:r>
      <w:r>
        <w:t xml:space="preserve"> </w:t>
      </w:r>
      <w:r>
        <w:t xml:space="preserve">All provided parameters (BOM details, transport distance, energy intensity, lifespan, recyclability) were directly incorporated, ensuring high relevance.</w:t>
      </w:r>
    </w:p>
    <w:p>
      <w:pPr>
        <w:numPr>
          <w:ilvl w:val="0"/>
          <w:numId w:val="1014"/>
        </w:numPr>
        <w:pStyle w:val="Compact"/>
      </w:pPr>
      <w:r>
        <w:rPr>
          <w:bCs/>
          <w:b/>
        </w:rPr>
        <w:t xml:space="preserve">Secondary Data:</w:t>
      </w:r>
      <w:r>
        <w:t xml:space="preserve"> </w:t>
      </w:r>
      <w:r>
        <w:t xml:space="preserve">Industry-standard emission factors from recognized databases (like Ecoinvent/DEFRA equivalents) were used as illustrative examples. While representative, specific supplier-level data for all upstream processes could further enhance accuracy.</w:t>
      </w:r>
    </w:p>
    <w:p>
      <w:pPr>
        <w:numPr>
          <w:ilvl w:val="0"/>
          <w:numId w:val="1014"/>
        </w:numPr>
        <w:pStyle w:val="Compact"/>
      </w:pPr>
      <w:r>
        <w:rPr>
          <w:bCs/>
          <w:b/>
        </w:rPr>
        <w:t xml:space="preserve">Assumptions:</w:t>
      </w:r>
      <w:r>
        <w:t xml:space="preserve"> </w:t>
      </w:r>
      <w:r>
        <w:t xml:space="preserve">Assumptions were made for specific modes (e.g., road freight for transport, courier van for last-mile) and for missing explicit Scope 1 manufacturing data. The interpretation of generic string parameters (e.g., \'Select Mode\', \'Delivery Type\') into specific values also introduces a degree of estimation.</w:t>
      </w:r>
    </w:p>
    <w:p>
      <w:pPr>
        <w:numPr>
          <w:ilvl w:val="0"/>
          <w:numId w:val="1014"/>
        </w:numPr>
        <w:pStyle w:val="Compact"/>
      </w:pPr>
      <w:r>
        <w:rPr>
          <w:bCs/>
          <w:b/>
        </w:rPr>
        <w:t xml:space="preserve">LSR Standard:</w:t>
      </w:r>
      <w:r>
        <w:t xml:space="preserve"> </w:t>
      </w:r>
      <w:r>
        <w:t xml:space="preserve">While acknowledged, the full application of the 2026 LSR Standard would require detailed information on biogenic carbon content, land use change associated with raw material sourcing, and specific carbon removal technologies, which were not available for this analysis.</w:t>
      </w:r>
    </w:p>
    <w:bookmarkEnd w:id="44"/>
    <w:bookmarkStart w:id="46" w:name="recommendations-for-reduction"/>
    <w:p>
      <w:pPr>
        <w:pStyle w:val="Heading2"/>
      </w:pPr>
      <w:r>
        <w:t xml:space="preserve">5.3. Recommendations for Reduction</w:t>
      </w:r>
    </w:p>
    <w:p>
      <w:pPr>
        <w:numPr>
          <w:ilvl w:val="0"/>
          <w:numId w:val="1015"/>
        </w:numPr>
        <w:pStyle w:val="Compact"/>
      </w:pPr>
      <w:r>
        <w:rPr>
          <w:bCs/>
          <w:b/>
        </w:rPr>
        <w:t xml:space="preserve">Optimize Use Phase:</w:t>
      </w:r>
      <w:r>
        <w:t xml:space="preserve"> </w:t>
      </w:r>
      <w:r>
        <w:t xml:space="preserve">Investigate opportunities for improving product energy efficiency, promoting the use of renewable energy by end-users, or exploring "energy-as-a-service" models.</w:t>
      </w:r>
    </w:p>
    <w:p>
      <w:pPr>
        <w:numPr>
          <w:ilvl w:val="0"/>
          <w:numId w:val="1015"/>
        </w:numPr>
        <w:pStyle w:val="Compact"/>
      </w:pPr>
      <w:r>
        <w:rPr>
          <w:bCs/>
          <w:b/>
        </w:rPr>
        <w:t xml:space="preserve">Material Optimization:</w:t>
      </w:r>
      <w:r>
        <w:t xml:space="preserve"> </w:t>
      </w:r>
      <w:r>
        <w:t xml:space="preserve">Explore alternative materials with lower embodied carbon, increase recycled content in aluminum and plastic components beyond current levels, or design for lighter weight.</w:t>
      </w:r>
    </w:p>
    <w:p>
      <w:pPr>
        <w:numPr>
          <w:ilvl w:val="0"/>
          <w:numId w:val="1015"/>
        </w:numPr>
        <w:pStyle w:val="Compact"/>
      </w:pPr>
      <w:r>
        <w:rPr>
          <w:bCs/>
          <w:b/>
        </w:rPr>
        <w:t xml:space="preserve">Enhance Manufacturing Renewables:</w:t>
      </w:r>
      <w:r>
        <w:t xml:space="preserve"> </w:t>
      </w:r>
      <w:r>
        <w:t xml:space="preserve">Work towards 100% renewable energy in manufacturing operations in China, potentially through on-site generation or purchasing high-quality renewable energy credits.</w:t>
      </w:r>
    </w:p>
    <w:p>
      <w:pPr>
        <w:numPr>
          <w:ilvl w:val="0"/>
          <w:numId w:val="1015"/>
        </w:numPr>
        <w:pStyle w:val="Compact"/>
      </w:pPr>
      <w:r>
        <w:rPr>
          <w:bCs/>
          <w:b/>
        </w:rPr>
        <w:t xml:space="preserve">Circular Economy Initiatives:</w:t>
      </w:r>
      <w:r>
        <w:t xml:space="preserve"> </w:t>
      </w:r>
      <w:r>
        <w:t xml:space="preserve">Further develop and promote the existing regional take-back scheme (orejjyujdw) to maximize material recovery and explore product-as-a-service models to extend product lifespan.</w:t>
      </w:r>
    </w:p>
    <w:p>
      <w:pPr>
        <w:numPr>
          <w:ilvl w:val="0"/>
          <w:numId w:val="1015"/>
        </w:numPr>
        <w:pStyle w:val="Compact"/>
      </w:pPr>
      <w:r>
        <w:rPr>
          <w:bCs/>
          <w:b/>
        </w:rPr>
        <w:t xml:space="preserve">Supply Chain Engagement:</w:t>
      </w:r>
      <w:r>
        <w:t xml:space="preserve"> </w:t>
      </w:r>
      <w:r>
        <w:t xml:space="preserve">Collaborate with suppliers to understand and reduce upstream emissions, particularly for high-impact components.</w:t>
      </w:r>
    </w:p>
    <w:p>
      <w:r>
        <w:pict>
          <v:rect style="width:0;height:1.5pt" o:hralign="center" o:hrstd="t" o:hr="t"/>
        </w:pict>
      </w:r>
    </w:p>
    <w:p>
      <w:pPr>
        <w:pStyle w:val="FirstParagraph"/>
      </w:pPr>
      <w:r>
        <w:t xml:space="preserve">Confidential - Internal Use Only | Page</w:t>
      </w:r>
      <w:r>
        <w:t xml:space="preserve"> </w:t>
      </w:r>
      <w:bookmarkStart w:id="45" w:name="page-number"/>
      <w:bookmarkEnd w:id="45"/>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tjktrdpfjj</dc:title>
  <dc:creator/>
  <dc:description>Detailed Product Carbon Footprint (PCF) analysis report for product tjktrdpfjj by jpfvzosdje, following GHG Protocol standards.</dc:description>
  <cp:keywords/>
  <dcterms:created xsi:type="dcterms:W3CDTF">2026-07-15T03:36:56Z</dcterms:created>
  <dcterms:modified xsi:type="dcterms:W3CDTF">2026-07-15T03:36:56Z</dcterms:modified>
</cp:coreProperties>
</file>

<file path=docProps/custom.xml><?xml version="1.0" encoding="utf-8"?>
<Properties xmlns="http://schemas.openxmlformats.org/officeDocument/2006/custom-properties" xmlns:vt="http://schemas.openxmlformats.org/officeDocument/2006/docPropsVTypes"/>
</file>