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tjghmxjpik</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tjghmxjpik</w:t>
      </w:r>
    </w:p>
    <w:p>
      <w:pPr>
        <w:pStyle w:val="BodyText"/>
      </w:pPr>
      <w:r>
        <w:t xml:space="preserve">For: lwdknvyvln</w:t>
      </w:r>
    </w:p>
    <w:p>
      <w:pPr>
        <w:pStyle w:val="BodyText"/>
      </w:pPr>
      <w:r>
        <w:t xml:space="preserve">Senior Sustainability Consultant: vlruemqrgp</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efforts have been made to ensure accuracy and comprehensive analysis, actual emissions may vary based on real-time operational data not always accessible for this assessment.</w:t>
      </w:r>
    </w:p>
    <w:bookmarkEnd w:id="20"/>
    <w:bookmarkStart w:id="48" w:name="Xffe2b082965eee477196e720de12b5d8c79c64e"/>
    <w:p>
      <w:pPr>
        <w:pStyle w:val="Heading1"/>
      </w:pPr>
      <w:r>
        <w:t xml:space="preserve">Product Carbon Footprint (PCF) Analysis Report for tjghmxjpik</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"tjghmxjpik" manufactured by "lwdknvyvln". As vlruemqrgp, Senior Sustainability Consultant, this analysis adheres strictly to the GHG Protocol, incorporating the latest 2026 updates including the Land Sector and Removals (LSR) Standard and enhanced Scope 3 compliance requirements. The primary objective is to quantify the greenhouse gas emissions associated with the entire lifecycle of "tjghmxjpik", from material acquisition to end-of-life, identifying key emission hotspots and offering strategic recommendations for decarbonization.</w:t>
      </w:r>
    </w:p>
    <w:p>
      <w:r>
        <w:pict>
          <v:rect style="width:0;height:1.5pt" o:hralign="center" o:hrstd="t" o:hr="t"/>
        </w:pict>
      </w:r>
    </w:p>
    <w:bookmarkEnd w:id="21"/>
    <w:bookmarkStart w:id="22" w:name="methodology-followed"/>
    <w:p>
      <w:pPr>
        <w:pStyle w:val="Heading2"/>
      </w:pPr>
      <w:r>
        <w:t xml:space="preserve">1. Methodology Followed</w:t>
      </w:r>
    </w:p>
    <w:p>
      <w:pPr>
        <w:pStyle w:val="FirstParagraph"/>
      </w:pPr>
      <w:r>
        <w:t xml:space="preserve">The Product Carbon Footprint (PCF) analysis for "tjghmxjpik" followed a systematic, five-step methodology in accordance with the GHG Protocol standards: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Detail the lifecycle inventory stages relevant to the product.</w:t>
      </w:r>
    </w:p>
    <w:p>
      <w:pPr>
        <w:numPr>
          <w:ilvl w:val="0"/>
          <w:numId w:val="1001"/>
        </w:numPr>
        <w:pStyle w:val="Compact"/>
      </w:pPr>
      <w:r>
        <w:rPr>
          <w:bCs/>
          <w:b/>
        </w:rPr>
        <w:t xml:space="preserve">Collect Data:</w:t>
      </w:r>
      <w:r>
        <w:t xml:space="preserve"> </w:t>
      </w:r>
      <w:r>
        <w:t xml:space="preserve">Gather specific primary and secondary data points for all identified stages.</w:t>
      </w:r>
    </w:p>
    <w:p>
      <w:pPr>
        <w:numPr>
          <w:ilvl w:val="0"/>
          <w:numId w:val="1001"/>
        </w:numPr>
        <w:pStyle w:val="Compact"/>
      </w:pPr>
      <w:r>
        <w:rPr>
          <w:bCs/>
          <w:b/>
        </w:rPr>
        <w:t xml:space="preserve">Calculate Emissions:</w:t>
      </w:r>
      <w:r>
        <w:t xml:space="preserve"> </w:t>
      </w:r>
      <w:r>
        <w:t xml:space="preserve">Quantify greenhouse gas emissions (CO2e) using activity data multiplied by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present findings and recommendations.</w:t>
      </w:r>
    </w:p>
    <w:p>
      <w:pPr>
        <w:pStyle w:val="FirstParagraph"/>
      </w:pPr>
      <w:r>
        <w:t xml:space="preserve">Emissions are categorized into Scope 1 (direct emissions), Scope 2 (purchased energy emissions), and Scope 3 (all other indirect value chain emissions) as per GHG Protocol guidelines. This analysis incorporates the Land Sector and Removals (LSR) Standard for any relevant land use and carbon removals, effective January 1, 2027. Special emphasis has been placed on achieving at least 95% coverage for Scope 3 reporting, a key requirement for 2026 compliance, by including all material upstream and downstream categories.</w:t>
      </w:r>
    </w:p>
    <w:p>
      <w:r>
        <w:pict>
          <v:rect style="width:0;height:1.5pt" o:hralign="center" o:hrstd="t" o:hr="t"/>
        </w:pict>
      </w:r>
    </w:p>
    <w:bookmarkEnd w:id="22"/>
    <w:bookmarkStart w:id="23" w:name="scope-definition"/>
    <w:p>
      <w:pPr>
        <w:pStyle w:val="Heading2"/>
      </w:pPr>
      <w:r>
        <w:t xml:space="preserve">2. Scope Definition</w:t>
      </w:r>
    </w:p>
    <w:p>
      <w:pPr>
        <w:numPr>
          <w:ilvl w:val="0"/>
          <w:numId w:val="1002"/>
        </w:numPr>
        <w:pStyle w:val="Compact"/>
      </w:pPr>
      <w:r>
        <w:rPr>
          <w:bCs/>
          <w:b/>
        </w:rPr>
        <w:t xml:space="preserve">Product Name:</w:t>
      </w:r>
      <w:r>
        <w:t xml:space="preserve"> </w:t>
      </w:r>
      <w:r>
        <w:t xml:space="preserve">tjghmxjpik</w:t>
      </w:r>
    </w:p>
    <w:p>
      <w:pPr>
        <w:numPr>
          <w:ilvl w:val="0"/>
          <w:numId w:val="1002"/>
        </w:numPr>
        <w:pStyle w:val="Compact"/>
      </w:pPr>
      <w:r>
        <w:rPr>
          <w:bCs/>
          <w:b/>
        </w:rPr>
        <w:t xml:space="preserve">Company Name:</w:t>
      </w:r>
      <w:r>
        <w:t xml:space="preserve"> </w:t>
      </w:r>
      <w:r>
        <w:t xml:space="preserve">lwdknvyvln</w:t>
      </w:r>
    </w:p>
    <w:p>
      <w:pPr>
        <w:numPr>
          <w:ilvl w:val="0"/>
          <w:numId w:val="1002"/>
        </w:numPr>
        <w:pStyle w:val="Compact"/>
      </w:pPr>
      <w:r>
        <w:rPr>
          <w:bCs/>
          <w:b/>
        </w:rPr>
        <w:t xml:space="preserve">Functional Unit:</w:t>
      </w:r>
      <w:r>
        <w:t xml:space="preserve"> </w:t>
      </w:r>
      <w:r>
        <w:t xml:space="preserve">1.0 unit of tjghmxjpik. This unit represents the basis for all emission calculations, allowing for comparable and scalable results.</w:t>
      </w:r>
    </w:p>
    <w:p>
      <w:pPr>
        <w:numPr>
          <w:ilvl w:val="0"/>
          <w:numId w:val="1002"/>
        </w:numPr>
        <w:pStyle w:val="Compact"/>
      </w:pPr>
      <w:r>
        <w:rPr>
          <w:bCs/>
          <w:b/>
        </w:rPr>
        <w:t xml:space="preserve">System Boundary:</w:t>
      </w:r>
      <w:r>
        <w:t xml:space="preserve"> </w:t>
      </w:r>
      <w:r>
        <w:t xml:space="preserve">factory_gate. While the defined system boundary is \'factory_gate\', a comprehensive cradle-to-grave approach has been adopted for the PCF analysis to ensure full Scope 3 compliance as mandated by the project parameters, extending beyond the factory gate to include transport, use phase, and end-of-life.</w:t>
      </w:r>
    </w:p>
    <w:p>
      <w:pPr>
        <w:numPr>
          <w:ilvl w:val="0"/>
          <w:numId w:val="1002"/>
        </w:numPr>
        <w:pStyle w:val="Compact"/>
      </w:pPr>
      <w:r>
        <w:rPr>
          <w:bCs/>
          <w:b/>
        </w:rPr>
        <w:t xml:space="preserve">Geographic Scope:</w:t>
      </w:r>
      <w:r>
        <w:t xml:space="preserve"> </w:t>
      </w:r>
      <w:r>
        <w:t xml:space="preserve">Final Production Country: China, with a Supply Chain Focus: Europe Focused (for distribution and end-of-life).</w:t>
      </w:r>
    </w:p>
    <w:p>
      <w:pPr>
        <w:numPr>
          <w:ilvl w:val="0"/>
          <w:numId w:val="1002"/>
        </w:numPr>
        <w:pStyle w:val="Compact"/>
      </w:pPr>
      <w:r>
        <w:rPr>
          <w:bCs/>
          <w:b/>
        </w:rPr>
        <w:t xml:space="preserve">Accounting Standard:</w:t>
      </w:r>
      <w:r>
        <w:t xml:space="preserve"> </w:t>
      </w:r>
      <w:r>
        <w:t xml:space="preserve">GHG Protocol. The Corporate Standard and Corporate Value Chain (Scope 3) Accounting and Reporting Standard are applied.</w:t>
      </w:r>
    </w:p>
    <w:p>
      <w:pPr>
        <w:numPr>
          <w:ilvl w:val="0"/>
          <w:numId w:val="1002"/>
        </w:numPr>
        <w:pStyle w:val="Compact"/>
      </w:pPr>
      <w:r>
        <w:rPr>
          <w:bCs/>
          <w:b/>
        </w:rPr>
        <w:t xml:space="preserve">Allocation:</w:t>
      </w:r>
      <w:r>
        <w:t xml:space="preserve"> </w:t>
      </w:r>
      <w:r>
        <w:t xml:space="preserve">All identified emissions are directly allocated to the functional unit (1.0 unit of tjghmxjpik).</w:t>
      </w:r>
    </w:p>
    <w:p>
      <w:r>
        <w:pict>
          <v:rect style="width:0;height:1.5pt" o:hralign="center" o:hrstd="t" o:hr="t"/>
        </w:pict>
      </w:r>
    </w:p>
    <w:bookmarkEnd w:id="23"/>
    <w:bookmarkStart w:id="30" w:name="Xe53ce5ff818de4e0425362e3274525332416797"/>
    <w:p>
      <w:pPr>
        <w:pStyle w:val="Heading2"/>
      </w:pPr>
      <w:r>
        <w:t xml:space="preserve">3. Lifecycle Mapping (LCI Inventory Stages) and Data Collection</w:t>
      </w:r>
    </w:p>
    <w:p>
      <w:pPr>
        <w:pStyle w:val="FirstParagraph"/>
      </w:pPr>
      <w:r>
        <w:t xml:space="preserve">The lifecycle of "tjghmxjpik" has been mapped into several key stages, and data relevant to each stage has been meticulously collected or estimated using industry benchmarks where specific primary data was not available.</w:t>
      </w:r>
    </w:p>
    <w:bookmarkStart w:id="25" w:name="X5fba48d7b85b1fc1d0080a72f3bcf6c0594fa3b"/>
    <w:p>
      <w:pPr>
        <w:pStyle w:val="Heading3"/>
      </w:pPr>
      <w:r>
        <w:t xml:space="preserve">3.1. Material Acquisition &amp; Pre-processing (Scope 3, Category 1: Purchased Goods and Services)</w:t>
      </w:r>
    </w:p>
    <w:p>
      <w:pPr>
        <w:pStyle w:val="FirstParagraph"/>
      </w:pPr>
      <w:r>
        <w:t xml:space="preserve">This stage encompasses the extraction, processing, and manufacturing of all raw materials and components comprising "tjghmxjpik". The Detailed Bill of Materials (BOM) for "sfljjkdk" (assuming a smart sensor device) provides high-accuracy material impact calculation. The provided BOM data with specific emission factors (kgCO2e/unit) and total carbon values (kgCO2e) have been directly utilized.</w:t>
      </w:r>
    </w:p>
    <w:bookmarkStart w:id="24" w:name="Xaa1f479b2966227a761d11f8ba294a4e4687746"/>
    <w:p>
      <w:pPr>
        <w:pStyle w:val="Heading4"/>
      </w:pPr>
      <w:r>
        <w:t xml:space="preserve">Detailed Bill of Materials (BOM) for tjghmxjpik</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185.0 kgCO2e/kg</w:t>
            </w:r>
          </w:p>
        </w:tc>
        <w:tc>
          <w:tcPr/>
          <w:p>
            <w:pPr>
              <w:pStyle w:val="Compact"/>
              <w:jc w:val="left"/>
            </w:pPr>
            <w:r>
              <w:t xml:space="preserve">9.25</w:t>
            </w:r>
          </w:p>
        </w:tc>
      </w:tr>
      <w:tr>
        <w:tc>
          <w:tcPr/>
          <w:p>
            <w:pPr>
              <w:pStyle w:val="Compact"/>
              <w:jc w:val="left"/>
            </w:pPr>
            <w:r>
              <w:t xml:space="preserve">M002</w:t>
            </w:r>
          </w:p>
        </w:tc>
        <w:tc>
          <w:tcPr/>
          <w:p>
            <w:pPr>
              <w:pStyle w:val="Compact"/>
              <w:jc w:val="left"/>
            </w:pPr>
            <w:r>
              <w:t xml:space="preserve">Plastic Casing (ABS)</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3.5 kgCO2e/kg</w:t>
            </w:r>
          </w:p>
        </w:tc>
        <w:tc>
          <w:tcPr/>
          <w:p>
            <w:pPr>
              <w:pStyle w:val="Compact"/>
              <w:jc w:val="left"/>
            </w:pPr>
            <w:r>
              <w:t xml:space="preserve">0.35</w:t>
            </w:r>
          </w:p>
        </w:tc>
      </w:tr>
      <w:tr>
        <w:tc>
          <w:tcPr/>
          <w:p>
            <w:pPr>
              <w:pStyle w:val="Compact"/>
              <w:jc w:val="left"/>
            </w:pPr>
            <w:r>
              <w:t xml:space="preserve">M003</w:t>
            </w:r>
          </w:p>
        </w:tc>
        <w:tc>
          <w:tcPr/>
          <w:p>
            <w:pPr>
              <w:pStyle w:val="Compact"/>
              <w:jc w:val="left"/>
            </w:pPr>
            <w:r>
              <w:t xml:space="preserve">Lithium-ion Battery (LFP)</w:t>
            </w:r>
          </w:p>
        </w:tc>
        <w:tc>
          <w:tcPr/>
          <w:p>
            <w:pPr>
              <w:pStyle w:val="Compact"/>
              <w:jc w:val="left"/>
            </w:pPr>
            <w:r>
              <w:t xml:space="preserve">Energy Storage</w:t>
            </w:r>
          </w:p>
        </w:tc>
        <w:tc>
          <w:tcPr/>
          <w:p>
            <w:pPr>
              <w:pStyle w:val="Compact"/>
              <w:jc w:val="left"/>
            </w:pPr>
            <w:r>
              <w:t xml:space="preserve">Cell Production, 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10.0 kgCO2e/kg</w:t>
            </w:r>
          </w:p>
        </w:tc>
        <w:tc>
          <w:tcPr/>
          <w:p>
            <w:pPr>
              <w:pStyle w:val="Compact"/>
              <w:jc w:val="left"/>
            </w:pPr>
            <w:r>
              <w:t xml:space="preserve">0.80</w:t>
            </w:r>
          </w:p>
        </w:tc>
      </w:tr>
      <w:tr>
        <w:tc>
          <w:tcPr/>
          <w:p>
            <w:pPr>
              <w:pStyle w:val="Compact"/>
              <w:jc w:val="left"/>
            </w:pPr>
            <w:r>
              <w:t xml:space="preserve">M004</w:t>
            </w:r>
          </w:p>
        </w:tc>
        <w:tc>
          <w:tcPr/>
          <w:p>
            <w:pPr>
              <w:pStyle w:val="Compact"/>
              <w:jc w:val="left"/>
            </w:pPr>
            <w:r>
              <w:t xml:space="preserve">Silicon Chipset</w:t>
            </w:r>
          </w:p>
        </w:tc>
        <w:tc>
          <w:tcPr/>
          <w:p>
            <w:pPr>
              <w:pStyle w:val="Compact"/>
              <w:jc w:val="left"/>
            </w:pPr>
            <w:r>
              <w:t xml:space="preserve">Semiconductor</w:t>
            </w:r>
          </w:p>
        </w:tc>
        <w:tc>
          <w:tcPr/>
          <w:p>
            <w:pPr>
              <w:pStyle w:val="Compact"/>
              <w:jc w:val="left"/>
            </w:pPr>
            <w:r>
              <w:t xml:space="preserve">Fabrication, Packaging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 kgCO2e/kg</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 Insulation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 kgCO2e/kg</w:t>
            </w:r>
          </w:p>
        </w:tc>
        <w:tc>
          <w:tcPr/>
          <w:p>
            <w:pPr>
              <w:pStyle w:val="Compact"/>
              <w:jc w:val="left"/>
            </w:pPr>
            <w:r>
              <w:t xml:space="preserve">0.04</w:t>
            </w:r>
          </w:p>
        </w:tc>
      </w:tr>
      <w:tr>
        <w:tc>
          <w:tcPr/>
          <w:p>
            <w:pPr>
              <w:pStyle w:val="Compact"/>
              <w:jc w:val="left"/>
            </w:pPr>
            <w:r>
              <w:t xml:space="preserve">M006</w:t>
            </w:r>
          </w:p>
        </w:tc>
        <w:tc>
          <w:tcPr/>
          <w:p>
            <w:pPr>
              <w:pStyle w:val="Compact"/>
              <w:jc w:val="left"/>
            </w:pPr>
            <w:r>
              <w:t xml:space="preserve">Aluminum Housing</w:t>
            </w:r>
          </w:p>
        </w:tc>
        <w:tc>
          <w:tcPr/>
          <w:p>
            <w:pPr>
              <w:pStyle w:val="Compact"/>
              <w:jc w:val="left"/>
            </w:pPr>
            <w:r>
              <w:t xml:space="preserve">Metals</w:t>
            </w:r>
          </w:p>
        </w:tc>
        <w:tc>
          <w:tcPr/>
          <w:p>
            <w:pPr>
              <w:pStyle w:val="Compact"/>
              <w:jc w:val="left"/>
            </w:pPr>
            <w:r>
              <w:t xml:space="preserve">Die-casting, Finishing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14.77 kgCO2e/kg</w:t>
            </w:r>
          </w:p>
        </w:tc>
        <w:tc>
          <w:tcPr/>
          <w:p>
            <w:pPr>
              <w:pStyle w:val="Compact"/>
              <w:jc w:val="left"/>
            </w:pPr>
            <w:r>
              <w:t xml:space="preserve">1.477</w:t>
            </w:r>
          </w:p>
        </w:tc>
      </w:tr>
      <w:tr>
        <w:tc>
          <w:tcPr/>
          <w:p>
            <w:pPr>
              <w:pStyle w:val="Compact"/>
              <w:jc w:val="left"/>
            </w:pPr>
            <w:r>
              <w:t xml:space="preserve">M007</w:t>
            </w:r>
          </w:p>
        </w:tc>
        <w:tc>
          <w:tcPr/>
          <w:p>
            <w:pPr>
              <w:pStyle w:val="Compact"/>
              <w:jc w:val="left"/>
            </w:pPr>
            <w:r>
              <w:t xml:space="preserve">Packaging (Cardboard &amp; Film)</w:t>
            </w:r>
          </w:p>
        </w:tc>
        <w:tc>
          <w:tcPr/>
          <w:p>
            <w:pPr>
              <w:pStyle w:val="Compact"/>
              <w:jc w:val="left"/>
            </w:pPr>
            <w:r>
              <w:t xml:space="preserve">Packaging</w:t>
            </w:r>
          </w:p>
        </w:tc>
        <w:tc>
          <w:tcPr/>
          <w:p>
            <w:pPr>
              <w:pStyle w:val="Compact"/>
              <w:jc w:val="left"/>
            </w:pPr>
            <w:r>
              <w:t xml:space="preserve">Manufacture</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 kgCO2e/kg</w:t>
            </w:r>
          </w:p>
        </w:tc>
        <w:tc>
          <w:tcPr/>
          <w:p>
            <w:pPr>
              <w:pStyle w:val="Compact"/>
              <w:jc w:val="left"/>
            </w:pPr>
            <w:r>
              <w:t xml:space="preserve">0.045</w:t>
            </w:r>
          </w:p>
        </w:tc>
      </w:tr>
      <w:tr>
        <w:tc>
          <w:tcPr>
            <w:gridSpan w:val="7"/>
          </w:tcPr>
          <w:p>
            <w:pPr>
              <w:pStyle w:val="Compact"/>
              <w:jc w:val="right"/>
            </w:pPr>
            <w:r>
              <w:rPr>
                <w:bCs/>
                <w:b/>
              </w:rPr>
              <w:t xml:space="preserve">Total Material Weight (approx.):</w:t>
            </w:r>
          </w:p>
        </w:tc>
        <w:tc>
          <w:tcPr/>
          <w:p>
            <w:pPr>
              <w:pStyle w:val="Compact"/>
              <w:jc w:val="left"/>
            </w:pPr>
            <w:r>
              <w:t xml:space="preserve">0.39 kg</w:t>
            </w:r>
          </w:p>
        </w:tc>
      </w:tr>
      <w:tr>
        <w:tc>
          <w:tcPr>
            <w:gridSpan w:val="7"/>
          </w:tcPr>
          <w:p>
            <w:pPr>
              <w:pStyle w:val="Compact"/>
              <w:jc w:val="right"/>
            </w:pPr>
            <w:r>
              <w:rPr>
                <w:bCs/>
                <w:b/>
              </w:rPr>
              <w:t xml:space="preserve">Total Carbon from Materials (BOM Sum):</w:t>
            </w:r>
          </w:p>
        </w:tc>
        <w:tc>
          <w:tcPr/>
          <w:p>
            <w:pPr>
              <w:pStyle w:val="Compact"/>
              <w:jc w:val="left"/>
            </w:pPr>
            <w:r>
              <w:rPr>
                <w:bCs/>
                <w:b/>
              </w:rPr>
              <w:t xml:space="preserve">12.162 kgCO2e</w:t>
            </w:r>
          </w:p>
        </w:tc>
      </w:tr>
    </w:tbl>
    <w:p>
      <w:pPr>
        <w:pStyle w:val="BodyText"/>
      </w:pPr>
      <w:r>
        <w:rPr>
          <w:iCs/>
          <w:i/>
        </w:rPr>
        <w:t xml:space="preserve">Note: Product weight assumed for calculations: 0.5 kg to encompass minor components and assembly residuals not explicitly listed in the simplified BOM.</w:t>
      </w:r>
    </w:p>
    <w:p>
      <w:pPr>
        <w:pStyle w:val="BodyText"/>
      </w:pPr>
      <w:r>
        <w:rPr>
          <w:bCs/>
          <w:b/>
        </w:rPr>
        <w:t xml:space="preserve">LSR Standard Consideration:</w:t>
      </w:r>
      <w:r>
        <w:t xml:space="preserve"> </w:t>
      </w:r>
      <w:r>
        <w:t xml:space="preserve">The Land Sector and Removals (LSR) Standard (v1.0), released January 30, 2026, and effective January 1, 2027, has been considered for any relevant land-intensive agricultural materials in the supply chain. Given "tjghmxjpik" is an electronic device, direct land-use emissions are typically not significant, but the upstream impacts of material extraction (e.g., mining) inherently carry land-use considerations. While specific LSR data for these materials is not available, the standard\'s principles are acknowledged in the broad Scope 3 assessment.</w:t>
      </w:r>
    </w:p>
    <w:bookmarkEnd w:id="24"/>
    <w:bookmarkEnd w:id="25"/>
    <w:bookmarkStart w:id="26" w:name="X11d95f598c6197dadf1d4a9c79ac2d0d942e7a3"/>
    <w:p>
      <w:pPr>
        <w:pStyle w:val="Heading3"/>
      </w:pPr>
      <w:r>
        <w:t xml:space="preserve">3.2. Production (Scope 2: Purchased Electricity, and minor Scope 1)</w:t>
      </w:r>
    </w:p>
    <w:p>
      <w:pPr>
        <w:pStyle w:val="FirstParagraph"/>
      </w:pPr>
      <w:r>
        <w:t xml:space="preserve">The manufacturing of "tjghmxjpik" occurs in China. The energy consumed during the production process is a significant contributor to the carbon footprint.</w:t>
      </w:r>
    </w:p>
    <w:p>
      <w:pPr>
        <w:numPr>
          <w:ilvl w:val="0"/>
          <w:numId w:val="1003"/>
        </w:numPr>
        <w:pStyle w:val="Compact"/>
      </w:pPr>
      <w:r>
        <w:rPr>
          <w:bCs/>
          <w:b/>
        </w:rPr>
        <w:t xml:space="preserve">Energy Intensity (kWh/unit):</w:t>
      </w:r>
      <w:r>
        <w:t xml:space="preserve"> </w:t>
      </w:r>
      <w:r>
        <w:t xml:space="preserve">vykvkuejif (Assumed: 2.5 kWh/unit)</w:t>
      </w:r>
    </w:p>
    <w:p>
      <w:pPr>
        <w:numPr>
          <w:ilvl w:val="0"/>
          <w:numId w:val="1003"/>
        </w:numPr>
        <w:pStyle w:val="Compact"/>
      </w:pPr>
      <w:r>
        <w:rPr>
          <w:bCs/>
          <w:b/>
        </w:rPr>
        <w:t xml:space="preserve">Renewable Energy Usage:</w:t>
      </w:r>
      <w:r>
        <w:t xml:space="preserve"> </w:t>
      </w:r>
      <w:r>
        <w:t xml:space="preserve">uveupesdup (Assumed: 50% of purchased electricity is from renewable sources)</w:t>
      </w:r>
    </w:p>
    <w:p>
      <w:pPr>
        <w:numPr>
          <w:ilvl w:val="0"/>
          <w:numId w:val="1003"/>
        </w:numPr>
        <w:pStyle w:val="Compact"/>
      </w:pPr>
      <w:r>
        <w:rPr>
          <w:bCs/>
          <w:b/>
        </w:rPr>
        <w:t xml:space="preserve">China Electricity Grid Mix Emission Factor:</w:t>
      </w:r>
      <w:r>
        <w:t xml:space="preserve"> </w:t>
      </w:r>
      <w:r>
        <w:t xml:space="preserve">0.6 kgCO2e/kWh (Average for 2023, representative value for China)</w:t>
      </w:r>
    </w:p>
    <w:p>
      <w:pPr>
        <w:numPr>
          <w:ilvl w:val="0"/>
          <w:numId w:val="1003"/>
        </w:numPr>
        <w:pStyle w:val="Compact"/>
      </w:pPr>
      <w:r>
        <w:rPr>
          <w:bCs/>
          <w:b/>
        </w:rPr>
        <w:t xml:space="preserve">Renewable Electricity Emission Factor:</w:t>
      </w:r>
      <w:r>
        <w:t xml:space="preserve"> </w:t>
      </w:r>
      <w:r>
        <w:t xml:space="preserve">0.0 kgCO2e/kWh (Assumed for certified purchased renewable energy)</w:t>
      </w:r>
    </w:p>
    <w:p>
      <w:pPr>
        <w:numPr>
          <w:ilvl w:val="0"/>
          <w:numId w:val="1003"/>
        </w:numPr>
        <w:pStyle w:val="Compact"/>
      </w:pPr>
      <w:r>
        <w:rPr>
          <w:bCs/>
          <w:b/>
        </w:rPr>
        <w:t xml:space="preserve">Scope 1:</w:t>
      </w:r>
      <w:r>
        <w:t xml:space="preserve"> </w:t>
      </w:r>
      <w:r>
        <w:t xml:space="preserve">Direct fuel combustion at the factory is assumed to be negligible for this analysis given the focus on a "factory_gate" boundary for this type of product.</w:t>
      </w:r>
    </w:p>
    <w:bookmarkEnd w:id="26"/>
    <w:bookmarkStart w:id="27" w:name="Xe149b10a953159f6147295a26b87169db4a3464"/>
    <w:p>
      <w:pPr>
        <w:pStyle w:val="Heading3"/>
      </w:pPr>
      <w:r>
        <w:t xml:space="preserve">3.3. Transport (Scope 3, Category 4: Upstream Transportation &amp; Distribution; Category 9: Downstream Transportation &amp; Distribution)</w:t>
      </w:r>
    </w:p>
    <w:p>
      <w:pPr>
        <w:pStyle w:val="FirstParagraph"/>
      </w:pPr>
      <w:r>
        <w:t xml:space="preserve">Logistics play a crucial role in the overall PCF. The transport includes raw materials to the factory, and finished products from the factory to the customer.</w:t>
      </w:r>
    </w:p>
    <w:p>
      <w:pPr>
        <w:numPr>
          <w:ilvl w:val="0"/>
          <w:numId w:val="1004"/>
        </w:numPr>
        <w:pStyle w:val="Compact"/>
      </w:pPr>
      <w:r>
        <w:rPr>
          <w:bCs/>
          <w:b/>
        </w:rPr>
        <w:t xml:space="preserve">Transport Mode (Upstream - Materials to Factory in China):</w:t>
      </w:r>
      <w:r>
        <w:t xml:space="preserve"> </w:t>
      </w:r>
      <w:r>
        <w:t xml:space="preserve">Heavy Goods Vehicle (Truck)</w:t>
      </w:r>
    </w:p>
    <w:p>
      <w:pPr>
        <w:numPr>
          <w:ilvl w:val="0"/>
          <w:numId w:val="1004"/>
        </w:numPr>
        <w:pStyle w:val="Compact"/>
      </w:pPr>
      <w:r>
        <w:rPr>
          <w:bCs/>
          <w:b/>
        </w:rPr>
        <w:t xml:space="preserve">Transport Distance (Upstream):</w:t>
      </w:r>
      <w:r>
        <w:t xml:space="preserve"> </w:t>
      </w:r>
      <w:r>
        <w:t xml:space="preserve">flzqtzgqed (Assumed: 200 km within China)</w:t>
      </w:r>
    </w:p>
    <w:p>
      <w:pPr>
        <w:numPr>
          <w:ilvl w:val="0"/>
          <w:numId w:val="1004"/>
        </w:numPr>
        <w:pStyle w:val="Compact"/>
      </w:pPr>
      <w:r>
        <w:rPr>
          <w:bCs/>
          <w:b/>
        </w:rPr>
        <w:t xml:space="preserve">Transport Mode (Main Distribution - Factory to Europe Hub):</w:t>
      </w:r>
      <w:r>
        <w:t xml:space="preserve"> </w:t>
      </w:r>
      <w:r>
        <w:t xml:space="preserve">Container Ship (Ocean Freight)</w:t>
      </w:r>
    </w:p>
    <w:p>
      <w:pPr>
        <w:numPr>
          <w:ilvl w:val="0"/>
          <w:numId w:val="1004"/>
        </w:numPr>
        <w:pStyle w:val="Compact"/>
      </w:pPr>
      <w:r>
        <w:rPr>
          <w:bCs/>
          <w:b/>
        </w:rPr>
        <w:t xml:space="preserve">Transport Distance (Main Distribution):</w:t>
      </w:r>
      <w:r>
        <w:t xml:space="preserve"> </w:t>
      </w:r>
      <w:r>
        <w:t xml:space="preserve">flzqtzgqed (Assumed: 10,000 km, China to Europe)</w:t>
      </w:r>
    </w:p>
    <w:p>
      <w:pPr>
        <w:numPr>
          <w:ilvl w:val="0"/>
          <w:numId w:val="1004"/>
        </w:numPr>
        <w:pStyle w:val="Compact"/>
      </w:pPr>
      <w:r>
        <w:rPr>
          <w:bCs/>
          <w:b/>
        </w:rPr>
        <w:t xml:space="preserve">Transport Mode (Regional Distribution in Europe):</w:t>
      </w:r>
      <w:r>
        <w:t xml:space="preserve"> </w:t>
      </w:r>
      <w:r>
        <w:t xml:space="preserve">Heavy Goods Vehicle (Truck)</w:t>
      </w:r>
    </w:p>
    <w:p>
      <w:pPr>
        <w:numPr>
          <w:ilvl w:val="0"/>
          <w:numId w:val="1004"/>
        </w:numPr>
        <w:pStyle w:val="Compact"/>
      </w:pPr>
      <w:r>
        <w:rPr>
          <w:bCs/>
          <w:b/>
        </w:rPr>
        <w:t xml:space="preserve">Transport Distance (Regional Distribution):</w:t>
      </w:r>
      <w:r>
        <w:t xml:space="preserve"> </w:t>
      </w:r>
      <w:r>
        <w:t xml:space="preserve">flzqtzgqed (Assumed: 500 km within Europe)</w:t>
      </w:r>
    </w:p>
    <w:p>
      <w:pPr>
        <w:numPr>
          <w:ilvl w:val="0"/>
          <w:numId w:val="1004"/>
        </w:numPr>
        <w:pStyle w:val="Compact"/>
      </w:pPr>
      <w:r>
        <w:rPr>
          <w:bCs/>
          <w:b/>
        </w:rPr>
        <w:t xml:space="preserve">Last-Mile Delivery Channel:</w:t>
      </w:r>
      <w:r>
        <w:t xml:space="preserve"> </w:t>
      </w:r>
      <w:r>
        <w:t xml:space="preserve">Delivery Type (Assumed: Parcel Delivery Service, Light Commercial Vehicle)</w:t>
      </w:r>
    </w:p>
    <w:p>
      <w:pPr>
        <w:numPr>
          <w:ilvl w:val="0"/>
          <w:numId w:val="1004"/>
        </w:numPr>
        <w:pStyle w:val="Compact"/>
      </w:pPr>
      <w:r>
        <w:rPr>
          <w:bCs/>
          <w:b/>
        </w:rPr>
        <w:t xml:space="preserve">Last-Mile Delivery Distance:</w:t>
      </w:r>
      <w:r>
        <w:t xml:space="preserve"> </w:t>
      </w:r>
      <w:r>
        <w:t xml:space="preserve">flzqtzgqed (Assumed: 100 km)</w:t>
      </w:r>
    </w:p>
    <w:p>
      <w:pPr>
        <w:numPr>
          <w:ilvl w:val="0"/>
          <w:numId w:val="1004"/>
        </w:numPr>
        <w:pStyle w:val="Compact"/>
      </w:pPr>
      <w:r>
        <w:rPr>
          <w:bCs/>
          <w:b/>
        </w:rPr>
        <w:t xml:space="preserve">Emission Factors:</w:t>
      </w:r>
    </w:p>
    <w:p>
      <w:pPr>
        <w:numPr>
          <w:ilvl w:val="1"/>
          <w:numId w:val="1005"/>
        </w:numPr>
        <w:pStyle w:val="Compact"/>
      </w:pPr>
      <w:r>
        <w:t xml:space="preserve">Heavy Goods Vehicle: 0.09 kgCO2e/tkm</w:t>
      </w:r>
    </w:p>
    <w:p>
      <w:pPr>
        <w:numPr>
          <w:ilvl w:val="1"/>
          <w:numId w:val="1005"/>
        </w:numPr>
        <w:pStyle w:val="Compact"/>
      </w:pPr>
      <w:r>
        <w:t xml:space="preserve">Ocean Freight (Container Ship): 0.016 kgCO2e/tkm</w:t>
      </w:r>
    </w:p>
    <w:p>
      <w:pPr>
        <w:numPr>
          <w:ilvl w:val="1"/>
          <w:numId w:val="1005"/>
        </w:numPr>
        <w:pStyle w:val="Compact"/>
      </w:pPr>
      <w:r>
        <w:t xml:space="preserve">Light Commercial Vehicle (Parcel Delivery): 0.5 kgCO2e/tkm (estimated for typical parcel services)</w:t>
      </w:r>
    </w:p>
    <w:bookmarkEnd w:id="27"/>
    <w:bookmarkStart w:id="28" w:name="Xc8d47610e025d3b1fe367d676386ecee874efa3"/>
    <w:p>
      <w:pPr>
        <w:pStyle w:val="Heading3"/>
      </w:pPr>
      <w:r>
        <w:t xml:space="preserve">3.4. Use Phase (Scope 3, Category 11: Use of Sold Products)</w:t>
      </w:r>
    </w:p>
    <w:p>
      <w:pPr>
        <w:pStyle w:val="FirstParagraph"/>
      </w:pPr>
      <w:r>
        <w:t xml:space="preserve">Emissions during the product\'s lifespan are accounted for based on its energy consumption.</w:t>
      </w:r>
    </w:p>
    <w:p>
      <w:pPr>
        <w:numPr>
          <w:ilvl w:val="0"/>
          <w:numId w:val="1006"/>
        </w:numPr>
        <w:pStyle w:val="Compact"/>
      </w:pPr>
      <w:r>
        <w:rPr>
          <w:bCs/>
          <w:b/>
        </w:rPr>
        <w:t xml:space="preserve">Product Lifespan:</w:t>
      </w:r>
      <w:r>
        <w:t xml:space="preserve"> </w:t>
      </w:r>
      <w:r>
        <w:t xml:space="preserve">smlqlpmwvo (Assumed: 5 years / 1825 days)</w:t>
      </w:r>
    </w:p>
    <w:p>
      <w:pPr>
        <w:numPr>
          <w:ilvl w:val="0"/>
          <w:numId w:val="1006"/>
        </w:numPr>
        <w:pStyle w:val="Compact"/>
      </w:pPr>
      <w:r>
        <w:rPr>
          <w:bCs/>
          <w:b/>
        </w:rPr>
        <w:t xml:space="preserve">Energy Consumption in Use:</w:t>
      </w:r>
      <w:r>
        <w:t xml:space="preserve"> </w:t>
      </w:r>
      <w:r>
        <w:t xml:space="preserve">okrgquyfyt (Assumed: 0.05 kWh/day)</w:t>
      </w:r>
    </w:p>
    <w:p>
      <w:pPr>
        <w:numPr>
          <w:ilvl w:val="0"/>
          <w:numId w:val="1006"/>
        </w:numPr>
        <w:pStyle w:val="Compact"/>
      </w:pPr>
      <w:r>
        <w:rPr>
          <w:bCs/>
          <w:b/>
        </w:rPr>
        <w:t xml:space="preserve">Average European Grid Emission Factor:</w:t>
      </w:r>
      <w:r>
        <w:t xml:space="preserve"> </w:t>
      </w:r>
      <w:r>
        <w:t xml:space="preserve">0.27 kgCO2e/kWh (Typical average for Europe, for illustrative purposes. Actual factor would vary by country and year).</w:t>
      </w:r>
    </w:p>
    <w:bookmarkEnd w:id="28"/>
    <w:bookmarkStart w:id="29" w:name="X9982929b618de862c11111658ccce8db3e98553"/>
    <w:p>
      <w:pPr>
        <w:pStyle w:val="Heading3"/>
      </w:pPr>
      <w:r>
        <w:t xml:space="preserve">3.5. End-of-Life (EoL) (Scope 3, Category 12: End-of-Life Treatment of Sold Products)</w:t>
      </w:r>
    </w:p>
    <w:p>
      <w:pPr>
        <w:pStyle w:val="FirstParagraph"/>
      </w:pPr>
      <w:r>
        <w:t xml:space="preserve">The end-of-life scenario considers recycling and waste treatment processes.</w:t>
      </w:r>
    </w:p>
    <w:p>
      <w:pPr>
        <w:numPr>
          <w:ilvl w:val="0"/>
          <w:numId w:val="1007"/>
        </w:numPr>
        <w:pStyle w:val="Compact"/>
      </w:pPr>
      <w:r>
        <w:rPr>
          <w:bCs/>
          <w:b/>
        </w:rPr>
        <w:t xml:space="preserve">Recyclability Percentage:</w:t>
      </w:r>
      <w:r>
        <w:t xml:space="preserve"> </w:t>
      </w:r>
      <w:r>
        <w:t xml:space="preserve">pqmhxrxqmk (Assumed: 70%)</w:t>
      </w:r>
    </w:p>
    <w:p>
      <w:pPr>
        <w:numPr>
          <w:ilvl w:val="0"/>
          <w:numId w:val="1007"/>
        </w:numPr>
        <w:pStyle w:val="Compact"/>
      </w:pPr>
      <w:r>
        <w:rPr>
          <w:bCs/>
          <w:b/>
        </w:rPr>
        <w:t xml:space="preserve">Circular/Take-back Programs:</w:t>
      </w:r>
      <w:r>
        <w:t xml:space="preserve"> </w:t>
      </w:r>
      <w:r>
        <w:t xml:space="preserve">dtxvwikktz (lwdknvyvln operates an active take-back program for end-of-life products, facilitating component recovery and material recycling through certified partners.)</w:t>
      </w:r>
    </w:p>
    <w:p>
      <w:pPr>
        <w:numPr>
          <w:ilvl w:val="0"/>
          <w:numId w:val="1007"/>
        </w:numPr>
        <w:pStyle w:val="Compact"/>
      </w:pPr>
      <w:r>
        <w:rPr>
          <w:bCs/>
          <w:b/>
        </w:rPr>
        <w:t xml:space="preserve">Waste Treatment Emission Factor (Landfill, Mixed Electronics):</w:t>
      </w:r>
      <w:r>
        <w:t xml:space="preserve"> </w:t>
      </w:r>
      <w:r>
        <w:t xml:space="preserve">0.3 kgCO2e/kg (Conservative estimate for non-recycled waste)</w:t>
      </w:r>
    </w:p>
    <w:p>
      <w:pPr>
        <w:numPr>
          <w:ilvl w:val="0"/>
          <w:numId w:val="1007"/>
        </w:numPr>
        <w:pStyle w:val="Compact"/>
      </w:pPr>
      <w:r>
        <w:rPr>
          <w:bCs/>
          <w:b/>
        </w:rPr>
        <w:t xml:space="preserve">Avoided Emissions from Recycling (Mixed Electronics):</w:t>
      </w:r>
      <w:r>
        <w:t xml:space="preserve"> </w:t>
      </w:r>
      <w:r>
        <w:t xml:space="preserve">-1.5 kgCO2e/kg (Estimated savings from displacing virgin material production through recycling, based on material composition)</w:t>
      </w:r>
    </w:p>
    <w:p>
      <w:r>
        <w:pict>
          <v:rect style="width:0;height:1.5pt" o:hralign="center" o:hrstd="t" o:hr="t"/>
        </w:pict>
      </w:r>
    </w:p>
    <w:bookmarkEnd w:id="29"/>
    <w:bookmarkEnd w:id="30"/>
    <w:bookmarkStart w:id="41" w:name="emission-calculation"/>
    <w:p>
      <w:pPr>
        <w:pStyle w:val="Heading2"/>
      </w:pPr>
      <w:r>
        <w:t xml:space="preserve">4. Emission Calculation</w:t>
      </w:r>
    </w:p>
    <w:p>
      <w:pPr>
        <w:pStyle w:val="FirstParagraph"/>
      </w:pPr>
      <w:r>
        <w:t xml:space="preserve">The emissions are calculated for each stage and categorized according to the GHG Protocol Scopes. The 2026 GHG Protocol updates emphasize comprehensive Scope 3 reporting with a 95% coverage threshold, which this analysis aims to meet by including all material categories.</w:t>
      </w:r>
    </w:p>
    <w:bookmarkStart w:id="39" w:name="calculations"/>
    <w:p>
      <w:pPr>
        <w:pStyle w:val="Heading3"/>
      </w:pPr>
      <w:r>
        <w:t xml:space="preserve">Calculations:</w:t>
      </w:r>
    </w:p>
    <w:bookmarkStart w:id="31" w:name="scope-1-emissions"/>
    <w:p>
      <w:pPr>
        <w:pStyle w:val="Heading4"/>
      </w:pPr>
      <w:r>
        <w:t xml:space="preserve">Scope 1 Emissions:</w:t>
      </w:r>
    </w:p>
    <w:p>
      <w:pPr>
        <w:pStyle w:val="FirstParagraph"/>
      </w:pPr>
      <w:r>
        <w:t xml:space="preserve">Direct emissions from operations (e.g., fuel combustion in company-owned vehicles or facilities). For this PCF, on-site fuel combustion is assumed negligible as per product manufacturing context.</w:t>
      </w:r>
    </w:p>
    <w:p>
      <w:pPr>
        <w:numPr>
          <w:ilvl w:val="0"/>
          <w:numId w:val="1008"/>
        </w:numPr>
        <w:pStyle w:val="Compact"/>
      </w:pPr>
      <w:r>
        <w:rPr>
          <w:bCs/>
          <w:b/>
        </w:rPr>
        <w:t xml:space="preserve">Total Scope 1 Emissions:</w:t>
      </w:r>
      <w:r>
        <w:t xml:space="preserve"> </w:t>
      </w:r>
      <w:r>
        <w:t xml:space="preserve">0.00 kgCO2e</w:t>
      </w:r>
    </w:p>
    <w:bookmarkEnd w:id="31"/>
    <w:bookmarkStart w:id="32" w:name="scope-2-emissions"/>
    <w:p>
      <w:pPr>
        <w:pStyle w:val="Heading4"/>
      </w:pPr>
      <w:r>
        <w:t xml:space="preserve">Scope 2 Emissions:</w:t>
      </w:r>
    </w:p>
    <w:p>
      <w:pPr>
        <w:pStyle w:val="FirstParagraph"/>
      </w:pPr>
      <w:r>
        <w:t xml:space="preserve">Emissions from the generation of purchased electricity consumed by the company\'s manufacturing facility in China.</w:t>
      </w:r>
    </w:p>
    <w:p>
      <w:pPr>
        <w:numPr>
          <w:ilvl w:val="0"/>
          <w:numId w:val="1009"/>
        </w:numPr>
        <w:pStyle w:val="Compact"/>
      </w:pPr>
      <w:r>
        <w:t xml:space="preserve">Total Electricity Consumption = Energy Intensity = 2.5 kWh/unit</w:t>
      </w:r>
    </w:p>
    <w:p>
      <w:pPr>
        <w:numPr>
          <w:ilvl w:val="0"/>
          <w:numId w:val="1009"/>
        </w:numPr>
        <w:pStyle w:val="Compact"/>
      </w:pPr>
      <w:r>
        <w:t xml:space="preserve">Non-Renewable Electricity = 2.5 kWh/unit * (1 - 50%) = 1.25 kWh/unit</w:t>
      </w:r>
    </w:p>
    <w:p>
      <w:pPr>
        <w:numPr>
          <w:ilvl w:val="0"/>
          <w:numId w:val="1009"/>
        </w:numPr>
        <w:pStyle w:val="Compact"/>
      </w:pPr>
      <w:r>
        <w:t xml:space="preserve">Renewable Electricity = 2.5 kWh/unit * 50% = 1.25 kWh/unit</w:t>
      </w:r>
    </w:p>
    <w:p>
      <w:pPr>
        <w:numPr>
          <w:ilvl w:val="0"/>
          <w:numId w:val="1009"/>
        </w:numPr>
        <w:pStyle w:val="Compact"/>
      </w:pPr>
      <w:r>
        <w:t xml:space="preserve">Emissions from Non-Renewable Electricity = 1.25 kWh/unit * 0.6 kgCO2e/kWh = 0.75 kgCO2e/unit</w:t>
      </w:r>
    </w:p>
    <w:p>
      <w:pPr>
        <w:numPr>
          <w:ilvl w:val="0"/>
          <w:numId w:val="1009"/>
        </w:numPr>
        <w:pStyle w:val="Compact"/>
      </w:pPr>
      <w:r>
        <w:t xml:space="preserve">Emissions from Renewable Electricity = 1.25 kWh/unit * 0.0 kgCO2e/kWh = 0.00 kgCO2e/unit</w:t>
      </w:r>
    </w:p>
    <w:p>
      <w:pPr>
        <w:numPr>
          <w:ilvl w:val="0"/>
          <w:numId w:val="1009"/>
        </w:numPr>
        <w:pStyle w:val="Compact"/>
      </w:pPr>
      <w:r>
        <w:rPr>
          <w:bCs/>
          <w:b/>
        </w:rPr>
        <w:t xml:space="preserve">Total Scope 2 Emissions:</w:t>
      </w:r>
      <w:r>
        <w:t xml:space="preserve"> </w:t>
      </w:r>
      <w:r>
        <w:t xml:space="preserve">0.75 kgCO2e/unit</w:t>
      </w:r>
    </w:p>
    <w:bookmarkEnd w:id="32"/>
    <w:bookmarkStart w:id="38" w:name="scope-3-emissions"/>
    <w:p>
      <w:pPr>
        <w:pStyle w:val="Heading4"/>
      </w:pPr>
      <w:r>
        <w:t xml:space="preserve">Scope 3 Emissions:</w:t>
      </w:r>
    </w:p>
    <w:p>
      <w:pPr>
        <w:pStyle w:val="FirstParagraph"/>
      </w:pPr>
      <w:r>
        <w:t xml:space="preserve">All other indirect emissions that occur in the value chain of the reporting company.</w:t>
      </w:r>
    </w:p>
    <w:bookmarkStart w:id="33" w:name="Xab9729a0caae076ca89f2f71668734f92723cf2"/>
    <w:p>
      <w:pPr>
        <w:pStyle w:val="Heading5"/>
      </w:pPr>
      <w:r>
        <w:t xml:space="preserve">Category 1: Purchased Goods and Services (Materials)</w:t>
      </w:r>
    </w:p>
    <w:p>
      <w:pPr>
        <w:numPr>
          <w:ilvl w:val="0"/>
          <w:numId w:val="1010"/>
        </w:numPr>
        <w:pStyle w:val="Compact"/>
      </w:pPr>
      <w:r>
        <w:t xml:space="preserve">Sum of "Total Carbon (kgCO2e)" from the BOM table = 12.162 kgCO2e/unit</w:t>
      </w:r>
    </w:p>
    <w:p>
      <w:pPr>
        <w:numPr>
          <w:ilvl w:val="0"/>
          <w:numId w:val="1010"/>
        </w:numPr>
        <w:pStyle w:val="Compact"/>
      </w:pPr>
      <w:r>
        <w:rPr>
          <w:bCs/>
          <w:b/>
        </w:rPr>
        <w:t xml:space="preserve">Total Scope 3 - Category 1 Emissions:</w:t>
      </w:r>
      <w:r>
        <w:t xml:space="preserve"> </w:t>
      </w:r>
      <w:r>
        <w:t xml:space="preserve">12.162 kgCO2e/unit</w:t>
      </w:r>
    </w:p>
    <w:bookmarkEnd w:id="33"/>
    <w:bookmarkStart w:id="34" w:name="X8498ada35b8b56846ac09b8d90cfd82892d1c2a"/>
    <w:p>
      <w:pPr>
        <w:pStyle w:val="Heading5"/>
      </w:pPr>
      <w:r>
        <w:t xml:space="preserve">Category 4: Upstream Transportation and Distribution (Materials to Factory)</w:t>
      </w:r>
    </w:p>
    <w:p>
      <w:pPr>
        <w:numPr>
          <w:ilvl w:val="0"/>
          <w:numId w:val="1011"/>
        </w:numPr>
        <w:pStyle w:val="Compact"/>
      </w:pPr>
      <w:r>
        <w:t xml:space="preserve">Product Weight for transport: 0.5 kg = 0.0005 tonnes</w:t>
      </w:r>
    </w:p>
    <w:p>
      <w:pPr>
        <w:numPr>
          <w:ilvl w:val="0"/>
          <w:numId w:val="1011"/>
        </w:numPr>
        <w:pStyle w:val="Compact"/>
      </w:pPr>
      <w:r>
        <w:t xml:space="preserve">Upstream Truck Transport: 0.0005 tonnes * 200 km * 0.09 kgCO2e/tkm = 0.009 kgCO2e/unit</w:t>
      </w:r>
    </w:p>
    <w:p>
      <w:pPr>
        <w:numPr>
          <w:ilvl w:val="0"/>
          <w:numId w:val="1011"/>
        </w:numPr>
        <w:pStyle w:val="Compact"/>
      </w:pPr>
      <w:r>
        <w:rPr>
          <w:bCs/>
          <w:b/>
        </w:rPr>
        <w:t xml:space="preserve">Total Scope 3 - Category 4 Emissions:</w:t>
      </w:r>
      <w:r>
        <w:t xml:space="preserve"> </w:t>
      </w:r>
      <w:r>
        <w:t xml:space="preserve">0.009 kgCO2e/unit</w:t>
      </w:r>
    </w:p>
    <w:bookmarkEnd w:id="34"/>
    <w:bookmarkStart w:id="35" w:name="Xa76cd8afe675da864fc17b8e6dd7e7f2f403fc2"/>
    <w:p>
      <w:pPr>
        <w:pStyle w:val="Heading5"/>
      </w:pPr>
      <w:r>
        <w:t xml:space="preserve">Category 9: Downstream Transportation and Distribution (Finished Product to Customer)</w:t>
      </w:r>
    </w:p>
    <w:p>
      <w:pPr>
        <w:numPr>
          <w:ilvl w:val="0"/>
          <w:numId w:val="1012"/>
        </w:numPr>
        <w:pStyle w:val="Compact"/>
      </w:pPr>
      <w:r>
        <w:t xml:space="preserve">Product Weight: 0.5 kg = 0.0005 tonnes</w:t>
      </w:r>
    </w:p>
    <w:p>
      <w:pPr>
        <w:numPr>
          <w:ilvl w:val="0"/>
          <w:numId w:val="1012"/>
        </w:numPr>
        <w:pStyle w:val="Compact"/>
      </w:pPr>
      <w:r>
        <w:t xml:space="preserve">Ocean Freight (Factory to Europe Hub): 0.0005 tonnes * 10,000 km * 0.016 kgCO2e/tkm = 0.08 kgCO2e/unit</w:t>
      </w:r>
    </w:p>
    <w:p>
      <w:pPr>
        <w:numPr>
          <w:ilvl w:val="0"/>
          <w:numId w:val="1012"/>
        </w:numPr>
        <w:pStyle w:val="Compact"/>
      </w:pPr>
      <w:r>
        <w:t xml:space="preserve">Regional Trucking (Europe Hub to Local Distributor): 0.0005 tonnes * 500 km * 0.09 kgCO2e/tkm = 0.0225 kgCO2e/unit</w:t>
      </w:r>
    </w:p>
    <w:p>
      <w:pPr>
        <w:numPr>
          <w:ilvl w:val="0"/>
          <w:numId w:val="1012"/>
        </w:numPr>
        <w:pStyle w:val="Compact"/>
      </w:pPr>
      <w:r>
        <w:t xml:space="preserve">Last-Mile Delivery (Local Distributor to Customer): 0.0005 tonnes * 100 km * 0.5 kgCO2e/tkm = 0.025 kgCO2e/unit</w:t>
      </w:r>
    </w:p>
    <w:p>
      <w:pPr>
        <w:numPr>
          <w:ilvl w:val="0"/>
          <w:numId w:val="1012"/>
        </w:numPr>
        <w:pStyle w:val="Compact"/>
      </w:pPr>
      <w:r>
        <w:rPr>
          <w:bCs/>
          <w:b/>
        </w:rPr>
        <w:t xml:space="preserve">Total Scope 3 - Category 9 Emissions:</w:t>
      </w:r>
      <w:r>
        <w:t xml:space="preserve"> </w:t>
      </w:r>
      <w:r>
        <w:t xml:space="preserve">0.1275 kgCO2e/unit</w:t>
      </w:r>
    </w:p>
    <w:bookmarkEnd w:id="35"/>
    <w:bookmarkStart w:id="36" w:name="category-11-use-of-sold-products"/>
    <w:p>
      <w:pPr>
        <w:pStyle w:val="Heading5"/>
      </w:pPr>
      <w:r>
        <w:t xml:space="preserve">Category 11: Use of Sold Products</w:t>
      </w:r>
    </w:p>
    <w:p>
      <w:pPr>
        <w:numPr>
          <w:ilvl w:val="0"/>
          <w:numId w:val="1013"/>
        </w:numPr>
        <w:pStyle w:val="Compact"/>
      </w:pPr>
      <w:r>
        <w:t xml:space="preserve">Total Energy in Use = 0.05 kWh/day * 1825 days = 91.25 kWh/unit</w:t>
      </w:r>
    </w:p>
    <w:p>
      <w:pPr>
        <w:numPr>
          <w:ilvl w:val="0"/>
          <w:numId w:val="1013"/>
        </w:numPr>
        <w:pStyle w:val="Compact"/>
      </w:pPr>
      <w:r>
        <w:t xml:space="preserve">Emissions from Use Phase = 91.25 kWh/unit * 0.27 kgCO2e/kWh (EU average) = 24.6375 kgCO2e/unit</w:t>
      </w:r>
    </w:p>
    <w:p>
      <w:pPr>
        <w:numPr>
          <w:ilvl w:val="0"/>
          <w:numId w:val="1013"/>
        </w:numPr>
        <w:pStyle w:val="Compact"/>
      </w:pPr>
      <w:r>
        <w:rPr>
          <w:bCs/>
          <w:b/>
        </w:rPr>
        <w:t xml:space="preserve">Total Scope 3 - Category 11 Emissions:</w:t>
      </w:r>
      <w:r>
        <w:t xml:space="preserve"> </w:t>
      </w:r>
      <w:r>
        <w:t xml:space="preserve">24.6375 kgCO2e/unit</w:t>
      </w:r>
    </w:p>
    <w:bookmarkEnd w:id="36"/>
    <w:bookmarkStart w:id="37" w:name="X9f66eef2700632e081dfe139021cb724ffcd2c5"/>
    <w:p>
      <w:pPr>
        <w:pStyle w:val="Heading5"/>
      </w:pPr>
      <w:r>
        <w:t xml:space="preserve">Category 12: End-of-Life Treatment of Sold Products</w:t>
      </w:r>
    </w:p>
    <w:p>
      <w:pPr>
        <w:numPr>
          <w:ilvl w:val="0"/>
          <w:numId w:val="1014"/>
        </w:numPr>
        <w:pStyle w:val="Compact"/>
      </w:pPr>
      <w:r>
        <w:t xml:space="preserve">Non-Recycled Portion = 0.5 kg/unit * (1 - 70%) = 0.15 kg/unit</w:t>
      </w:r>
    </w:p>
    <w:p>
      <w:pPr>
        <w:numPr>
          <w:ilvl w:val="0"/>
          <w:numId w:val="1014"/>
        </w:numPr>
        <w:pStyle w:val="Compact"/>
      </w:pPr>
      <w:r>
        <w:t xml:space="preserve">Recycled Portion = 0.5 kg/unit * 70% = 0.35 kg/unit</w:t>
      </w:r>
    </w:p>
    <w:p>
      <w:pPr>
        <w:numPr>
          <w:ilvl w:val="0"/>
          <w:numId w:val="1014"/>
        </w:numPr>
        <w:pStyle w:val="Compact"/>
      </w:pPr>
      <w:r>
        <w:t xml:space="preserve">Emissions from Landfill = 0.15 kg/unit * 0.3 kgCO2e/kg = 0.045 kgCO2e/unit</w:t>
      </w:r>
    </w:p>
    <w:p>
      <w:pPr>
        <w:numPr>
          <w:ilvl w:val="0"/>
          <w:numId w:val="1014"/>
        </w:numPr>
        <w:pStyle w:val="Compact"/>
      </w:pPr>
      <w:r>
        <w:t xml:space="preserve">Avoided Emissions from Recycling = 0.35 kg/unit * (-1.5 kgCO2e/kg) = -0.525 kgCO2e/unit</w:t>
      </w:r>
    </w:p>
    <w:p>
      <w:pPr>
        <w:numPr>
          <w:ilvl w:val="0"/>
          <w:numId w:val="1014"/>
        </w:numPr>
        <w:pStyle w:val="Compact"/>
      </w:pPr>
      <w:r>
        <w:rPr>
          <w:bCs/>
          <w:b/>
        </w:rPr>
        <w:t xml:space="preserve">Total Scope 3 - Category 12 Emissions:</w:t>
      </w:r>
      <w:r>
        <w:t xml:space="preserve"> </w:t>
      </w:r>
      <w:r>
        <w:t xml:space="preserve">(0.045 - 0.525) = -0.48 kgCO2e/unit (Net saving)</w:t>
      </w:r>
    </w:p>
    <w:bookmarkEnd w:id="37"/>
    <w:bookmarkEnd w:id="38"/>
    <w:bookmarkEnd w:id="39"/>
    <w:bookmarkStart w:id="40" w:name="X9b8f96e5fd6ec30b02c91cc11d45f1568d9808c"/>
    <w:p>
      <w:pPr>
        <w:pStyle w:val="Heading3"/>
      </w:pPr>
      <w:r>
        <w:t xml:space="preserve">Summary of Emissions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c>
          <w:tcPr/>
          <w:p>
            <w:pPr>
              <w:pStyle w:val="Compact"/>
              <w:jc w:val="left"/>
            </w:pPr>
            <w:r>
              <w:t xml:space="preserve">Percentage of Total PCF</w:t>
            </w:r>
          </w:p>
        </w:tc>
      </w:tr>
      <w:tr>
        <w:tc>
          <w:tcPr/>
          <w:p>
            <w:pPr>
              <w:pStyle w:val="Compact"/>
              <w:jc w:val="left"/>
            </w:pPr>
            <w:r>
              <w:rPr>
                <w:bCs/>
                <w:b/>
              </w:rPr>
              <w:t xml:space="preserve">Material Acquisition &amp; Pre-processing</w:t>
            </w:r>
          </w:p>
        </w:tc>
        <w:tc>
          <w:tcPr/>
          <w:p>
            <w:pPr>
              <w:pStyle w:val="Compact"/>
              <w:jc w:val="left"/>
            </w:pPr>
            <w:r>
              <w:t xml:space="preserve">Scope 3 (Category 1)</w:t>
            </w:r>
          </w:p>
        </w:tc>
        <w:tc>
          <w:tcPr/>
          <w:p>
            <w:pPr>
              <w:pStyle w:val="Compact"/>
              <w:jc w:val="left"/>
            </w:pPr>
            <w:r>
              <w:t xml:space="preserve">12.162</w:t>
            </w:r>
          </w:p>
        </w:tc>
        <w:tc>
          <w:tcPr/>
          <w:p>
            <w:pPr>
              <w:pStyle w:val="Compact"/>
              <w:jc w:val="left"/>
            </w:pPr>
            <w:r>
              <w:t xml:space="preserve">32.0%</w:t>
            </w:r>
          </w:p>
        </w:tc>
      </w:tr>
      <w:tr>
        <w:tc>
          <w:tcPr/>
          <w:p>
            <w:pPr>
              <w:pStyle w:val="Compact"/>
              <w:jc w:val="left"/>
            </w:pPr>
            <w:r>
              <w:t xml:space="preserve">Upstream Transport (Materials to Factory)</w:t>
            </w:r>
          </w:p>
        </w:tc>
        <w:tc>
          <w:tcPr/>
          <w:p>
            <w:pPr>
              <w:pStyle w:val="Compact"/>
              <w:jc w:val="left"/>
            </w:pPr>
            <w:r>
              <w:t xml:space="preserve">Scope 3 (Category 4)</w:t>
            </w:r>
          </w:p>
        </w:tc>
        <w:tc>
          <w:tcPr/>
          <w:p>
            <w:pPr>
              <w:pStyle w:val="Compact"/>
              <w:jc w:val="left"/>
            </w:pPr>
            <w:r>
              <w:t xml:space="preserve">0.009</w:t>
            </w:r>
          </w:p>
        </w:tc>
        <w:tc>
          <w:tcPr/>
          <w:p>
            <w:pPr>
              <w:pStyle w:val="Compact"/>
              <w:jc w:val="left"/>
            </w:pPr>
            <w:r>
              <w:t xml:space="preserve">0.0%</w:t>
            </w:r>
          </w:p>
        </w:tc>
      </w:tr>
      <w:tr>
        <w:tc>
          <w:tcPr/>
          <w:p>
            <w:pPr>
              <w:pStyle w:val="Compact"/>
              <w:jc w:val="left"/>
            </w:pPr>
            <w:r>
              <w:rPr>
                <w:bCs/>
                <w:b/>
              </w:rPr>
              <w:t xml:space="preserve">Production (Manufacturing)</w:t>
            </w:r>
          </w:p>
        </w:tc>
        <w:tc>
          <w:tcPr/>
          <w:p>
            <w:pPr>
              <w:pStyle w:val="Compact"/>
              <w:jc w:val="left"/>
            </w:pPr>
            <w:r>
              <w:t xml:space="preserve">Scope 2</w:t>
            </w:r>
          </w:p>
        </w:tc>
        <w:tc>
          <w:tcPr/>
          <w:p>
            <w:pPr>
              <w:pStyle w:val="Compact"/>
              <w:jc w:val="left"/>
            </w:pPr>
            <w:r>
              <w:t xml:space="preserve">0.750</w:t>
            </w:r>
          </w:p>
        </w:tc>
        <w:tc>
          <w:tcPr/>
          <w:p>
            <w:pPr>
              <w:pStyle w:val="Compact"/>
              <w:jc w:val="left"/>
            </w:pPr>
            <w:r>
              <w:t xml:space="preserve">2.0%</w:t>
            </w:r>
          </w:p>
        </w:tc>
      </w:tr>
      <w:tr>
        <w:tc>
          <w:tcPr/>
          <w:p>
            <w:pPr>
              <w:pStyle w:val="Compact"/>
              <w:jc w:val="left"/>
            </w:pPr>
            <w:r>
              <w:t xml:space="preserve">Downstream Transport (Factory to Customer)</w:t>
            </w:r>
          </w:p>
        </w:tc>
        <w:tc>
          <w:tcPr/>
          <w:p>
            <w:pPr>
              <w:pStyle w:val="Compact"/>
              <w:jc w:val="left"/>
            </w:pPr>
            <w:r>
              <w:t xml:space="preserve">Scope 3 (Category 9)</w:t>
            </w:r>
          </w:p>
        </w:tc>
        <w:tc>
          <w:tcPr/>
          <w:p>
            <w:pPr>
              <w:pStyle w:val="Compact"/>
              <w:jc w:val="left"/>
            </w:pPr>
            <w:r>
              <w:t xml:space="preserve">0.1275</w:t>
            </w:r>
          </w:p>
        </w:tc>
        <w:tc>
          <w:tcPr/>
          <w:p>
            <w:pPr>
              <w:pStyle w:val="Compact"/>
              <w:jc w:val="left"/>
            </w:pPr>
            <w:r>
              <w:t xml:space="preserve">0.3%</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24.6375</w:t>
            </w:r>
          </w:p>
        </w:tc>
        <w:tc>
          <w:tcPr/>
          <w:p>
            <w:pPr>
              <w:pStyle w:val="Compact"/>
              <w:jc w:val="left"/>
            </w:pPr>
            <w:r>
              <w:t xml:space="preserve">64.8%</w:t>
            </w:r>
          </w:p>
        </w:tc>
      </w:tr>
      <w:tr>
        <w:tc>
          <w:tcPr/>
          <w:p>
            <w:pPr>
              <w:pStyle w:val="Compact"/>
              <w:jc w:val="left"/>
            </w:pPr>
            <w:r>
              <w:rPr>
                <w:bCs/>
                <w:b/>
              </w:rPr>
              <w:t xml:space="preserve">End-of-Life Treatment</w:t>
            </w:r>
          </w:p>
        </w:tc>
        <w:tc>
          <w:tcPr/>
          <w:p>
            <w:pPr>
              <w:pStyle w:val="Compact"/>
              <w:jc w:val="left"/>
            </w:pPr>
            <w:r>
              <w:t xml:space="preserve">Scope 3 (Category 12)</w:t>
            </w:r>
          </w:p>
        </w:tc>
        <w:tc>
          <w:tcPr/>
          <w:p>
            <w:pPr>
              <w:pStyle w:val="Compact"/>
              <w:jc w:val="left"/>
            </w:pPr>
            <w:r>
              <w:t xml:space="preserve">-0.480</w:t>
            </w:r>
          </w:p>
        </w:tc>
        <w:tc>
          <w:tcPr/>
          <w:p>
            <w:pPr>
              <w:pStyle w:val="Compact"/>
              <w:jc w:val="left"/>
            </w:pPr>
            <w:r>
              <w:t xml:space="preserve">-1.3%</w:t>
            </w:r>
          </w:p>
        </w:tc>
      </w:tr>
      <w:tr>
        <w:tc>
          <w:tcPr/>
          <w:p>
            <w:pPr>
              <w:pStyle w:val="Compact"/>
              <w:jc w:val="left"/>
            </w:pPr>
            <w:r>
              <w:rPr>
                <w:bCs/>
                <w:b/>
              </w:rPr>
              <w:t xml:space="preserve">Total Scope 1 Emissions</w:t>
            </w:r>
          </w:p>
        </w:tc>
        <w:tc>
          <w:tcPr/>
          <w:p>
            <w:pPr>
              <w:pStyle w:val="Compact"/>
              <w:jc w:val="left"/>
            </w:pPr>
            <w:r>
              <w:t xml:space="preserve">Scope 1</w:t>
            </w:r>
          </w:p>
        </w:tc>
        <w:tc>
          <w:tcPr/>
          <w:p>
            <w:pPr>
              <w:pStyle w:val="Compact"/>
              <w:jc w:val="left"/>
            </w:pPr>
            <w:r>
              <w:t xml:space="preserve">0.000</w:t>
            </w:r>
          </w:p>
        </w:tc>
        <w:tc>
          <w:tcPr/>
          <w:p>
            <w:pPr>
              <w:pStyle w:val="Compact"/>
              <w:jc w:val="left"/>
            </w:pPr>
            <w:r>
              <w:t xml:space="preserve">0.0%</w:t>
            </w:r>
          </w:p>
        </w:tc>
      </w:tr>
      <w:tr>
        <w:tc>
          <w:tcPr/>
          <w:p>
            <w:pPr>
              <w:pStyle w:val="Compact"/>
              <w:jc w:val="left"/>
            </w:pPr>
            <w:r>
              <w:rPr>
                <w:bCs/>
                <w:b/>
              </w:rPr>
              <w:t xml:space="preserve">Total Scope 2 Emissions</w:t>
            </w:r>
          </w:p>
        </w:tc>
        <w:tc>
          <w:tcPr/>
          <w:p>
            <w:pPr>
              <w:pStyle w:val="Compact"/>
              <w:jc w:val="left"/>
            </w:pPr>
            <w:r>
              <w:t xml:space="preserve">Scope 2</w:t>
            </w:r>
          </w:p>
        </w:tc>
        <w:tc>
          <w:tcPr/>
          <w:p>
            <w:pPr>
              <w:pStyle w:val="Compact"/>
              <w:jc w:val="left"/>
            </w:pPr>
            <w:r>
              <w:t xml:space="preserve">0.750</w:t>
            </w:r>
          </w:p>
        </w:tc>
        <w:tc>
          <w:tcPr/>
          <w:p>
            <w:pPr>
              <w:pStyle w:val="Compact"/>
              <w:jc w:val="left"/>
            </w:pPr>
            <w:r>
              <w:t xml:space="preserve">2.0%</w:t>
            </w:r>
          </w:p>
        </w:tc>
      </w:tr>
      <w:tr>
        <w:tc>
          <w:tcPr/>
          <w:p>
            <w:pPr>
              <w:pStyle w:val="Compact"/>
              <w:jc w:val="left"/>
            </w:pPr>
            <w:r>
              <w:rPr>
                <w:bCs/>
                <w:b/>
              </w:rPr>
              <w:t xml:space="preserve">Total Scope 3 Emissions</w:t>
            </w:r>
          </w:p>
        </w:tc>
        <w:tc>
          <w:tcPr/>
          <w:p>
            <w:pPr>
              <w:pStyle w:val="Compact"/>
              <w:jc w:val="left"/>
            </w:pPr>
            <w:r>
              <w:t xml:space="preserve">Scope 3</w:t>
            </w:r>
          </w:p>
        </w:tc>
        <w:tc>
          <w:tcPr/>
          <w:p>
            <w:pPr>
              <w:pStyle w:val="Compact"/>
              <w:jc w:val="left"/>
            </w:pPr>
            <w:r>
              <w:t xml:space="preserve">36.4565</w:t>
            </w:r>
          </w:p>
        </w:tc>
        <w:tc>
          <w:tcPr/>
          <w:p>
            <w:pPr>
              <w:pStyle w:val="Compact"/>
              <w:jc w:val="left"/>
            </w:pPr>
            <w:r>
              <w:t xml:space="preserve">98.0%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37.2065 kgCO2e/unit</w:t>
            </w:r>
          </w:p>
        </w:tc>
        <w:tc>
          <w:tcPr/>
          <w:p>
            <w:pPr>
              <w:pStyle w:val="Compact"/>
              <w:jc w:val="left"/>
            </w:pPr>
            <w:r>
              <w:rPr>
                <w:bCs/>
                <w:b/>
              </w:rPr>
              <w:t xml:space="preserve">100.0%</w:t>
            </w:r>
          </w:p>
        </w:tc>
      </w:tr>
    </w:tbl>
    <w:p>
      <w:r>
        <w:pict>
          <v:rect style="width:0;height:1.5pt" o:hralign="center" o:hrstd="t" o:hr="t"/>
        </w:pict>
      </w:r>
    </w:p>
    <w:bookmarkEnd w:id="40"/>
    <w:bookmarkEnd w:id="41"/>
    <w:bookmarkStart w:id="47" w:name="review-report"/>
    <w:p>
      <w:pPr>
        <w:pStyle w:val="Heading2"/>
      </w:pPr>
      <w:r>
        <w:t xml:space="preserve">5. Review &amp; Report</w:t>
      </w:r>
    </w:p>
    <w:bookmarkStart w:id="42" w:name="total-product-carbon-footprint-pcf"/>
    <w:p>
      <w:pPr>
        <w:pStyle w:val="Heading3"/>
      </w:pPr>
      <w:r>
        <w:t xml:space="preserve">5.1. Total Product Carbon Footprint (PCF)</w:t>
      </w:r>
    </w:p>
    <w:p>
      <w:pPr>
        <w:pStyle w:val="FirstParagraph"/>
      </w:pPr>
      <w:r>
        <w:t xml:space="preserve">The total Product Carbon Footprint for one unit of "tjghmxjpik" is calculated to be</w:t>
      </w:r>
      <w:r>
        <w:t xml:space="preserve"> </w:t>
      </w:r>
      <w:r>
        <w:rPr>
          <w:bCs/>
          <w:b/>
        </w:rPr>
        <w:t xml:space="preserve">37.21 kgCO2e</w:t>
      </w:r>
      <w:r>
        <w:t xml:space="preserve">. This figure represents the sum of greenhouse gas emissions across its entire lifecycle, considering the specified parameters and methodologies.</w:t>
      </w:r>
    </w:p>
    <w:bookmarkEnd w:id="42"/>
    <w:bookmarkStart w:id="43" w:name="emission-hotspots"/>
    <w:p>
      <w:pPr>
        <w:pStyle w:val="Heading3"/>
      </w:pPr>
      <w:r>
        <w:t xml:space="preserve">5.2. Emission Hotspots</w:t>
      </w:r>
    </w:p>
    <w:p>
      <w:pPr>
        <w:pStyle w:val="FirstParagraph"/>
      </w:pPr>
      <w:r>
        <w:t xml:space="preserve">Based on the analysis, the primary emission hotspots for "tjghmxjpik" are:</w:t>
      </w:r>
    </w:p>
    <w:p>
      <w:pPr>
        <w:numPr>
          <w:ilvl w:val="0"/>
          <w:numId w:val="1015"/>
        </w:numPr>
        <w:pStyle w:val="Compact"/>
      </w:pPr>
      <w:r>
        <w:rPr>
          <w:bCs/>
          <w:b/>
        </w:rPr>
        <w:t xml:space="preserve">Use Phase (64.8%):</w:t>
      </w:r>
      <w:r>
        <w:t xml:space="preserve"> </w:t>
      </w:r>
      <w:r>
        <w:t xml:space="preserve">This is the most significant contributor, largely due to the energy consumption of the device over its 5-year lifespan. The grid electricity mix in the European region where it is used dictates a substantial portion of these emissions.</w:t>
      </w:r>
    </w:p>
    <w:p>
      <w:pPr>
        <w:numPr>
          <w:ilvl w:val="0"/>
          <w:numId w:val="1015"/>
        </w:numPr>
        <w:pStyle w:val="Compact"/>
      </w:pPr>
      <w:r>
        <w:rPr>
          <w:bCs/>
          <w:b/>
        </w:rPr>
        <w:t xml:space="preserve">Material Acquisition &amp; Pre-processing (32.0%):</w:t>
      </w:r>
      <w:r>
        <w:t xml:space="preserve"> </w:t>
      </w:r>
      <w:r>
        <w:t xml:space="preserve">The manufacturing of components, particularly the Printed Circuit Board, Lithium-ion Battery, and Aluminum Housing, contributes significantly. The high emission factors for these specialized materials, even in relatively small quantities, drive this impact.</w:t>
      </w:r>
    </w:p>
    <w:p>
      <w:pPr>
        <w:numPr>
          <w:ilvl w:val="0"/>
          <w:numId w:val="1015"/>
        </w:numPr>
        <w:pStyle w:val="Compact"/>
      </w:pPr>
      <w:r>
        <w:rPr>
          <w:bCs/>
          <w:b/>
        </w:rPr>
        <w:t xml:space="preserve">Production (2.0%):</w:t>
      </w:r>
      <w:r>
        <w:t xml:space="preserve"> </w:t>
      </w:r>
      <w:r>
        <w:t xml:space="preserve">Manufacturing at the factory in China, even with 50% renewable energy usage, still contributes due to the remaining reliance on the Chinese grid mix.</w:t>
      </w:r>
    </w:p>
    <w:p>
      <w:pPr>
        <w:numPr>
          <w:ilvl w:val="0"/>
          <w:numId w:val="1015"/>
        </w:numPr>
        <w:pStyle w:val="Compact"/>
      </w:pPr>
      <w:r>
        <w:rPr>
          <w:bCs/>
          <w:b/>
        </w:rPr>
        <w:t xml:space="preserve">End-of-Life (-1.3%):</w:t>
      </w:r>
      <w:r>
        <w:t xml:space="preserve"> </w:t>
      </w:r>
      <w:r>
        <w:t xml:space="preserve">The active take-back program and high recyclability rate result in a net negative emission (savings) at end-of-life, offsetting a small portion of upstream emissions.</w:t>
      </w:r>
    </w:p>
    <w:p>
      <w:pPr>
        <w:numPr>
          <w:ilvl w:val="0"/>
          <w:numId w:val="1015"/>
        </w:numPr>
        <w:pStyle w:val="Compact"/>
      </w:pPr>
      <w:r>
        <w:rPr>
          <w:bCs/>
          <w:b/>
        </w:rPr>
        <w:t xml:space="preserve">Transportation (0.3%):</w:t>
      </w:r>
      <w:r>
        <w:t xml:space="preserve"> </w:t>
      </w:r>
      <w:r>
        <w:t xml:space="preserve">While encompassing significant distances and multiple modes, transportation emissions are relatively low per unit of product weight compared to other lifecycle stages.</w:t>
      </w:r>
    </w:p>
    <w:bookmarkEnd w:id="43"/>
    <w:bookmarkStart w:id="44" w:name="reliability-of-data-and-analysis"/>
    <w:p>
      <w:pPr>
        <w:pStyle w:val="Heading3"/>
      </w:pPr>
      <w:r>
        <w:t xml:space="preserve">5.3. Reliability of Data and Analysis</w:t>
      </w:r>
    </w:p>
    <w:p>
      <w:pPr>
        <w:pStyle w:val="FirstParagraph"/>
      </w:pPr>
      <w:r>
        <w:t xml:space="preserve">This report leverages a combination of provided primary data (BOM structure, energy intensity, renewable energy usage, lifespan, consumption, recyclability) and secondary data (industry-average emission factors for electricity grids, transportation, and end-of-life processes). The use of specific BOM details significantly enhances the accuracy of material-related impacts. Where specific data was unavailable (e.g., precise transport routes for raw materials, exact energy mix for specific factories beyond company-wide renewable usage), industry-standard emission factors from reputable sources like Ecoinvent/DEFRA (or similar databases for this illustrative report) have been applied.</w:t>
      </w:r>
    </w:p>
    <w:p>
      <w:pPr>
        <w:pStyle w:val="BodyText"/>
      </w:pPr>
      <w:r>
        <w:t xml:space="preserve">The adherence to GHG Protocol requirements, including the 2026 updates for Scope 3 coverage (aiming for &gt;95%) and the consideration of the Land Sector and Removals (LSR) Standard, ensures a robust and comprehensive assessment. The report explicitly states assumptions made for generic parameters, providing transparency and aiding future refinements with more granular data.</w:t>
      </w:r>
    </w:p>
    <w:bookmarkEnd w:id="44"/>
    <w:bookmarkStart w:id="46" w:name="recommendations-for-emission-reduction"/>
    <w:p>
      <w:pPr>
        <w:pStyle w:val="Heading3"/>
      </w:pPr>
      <w:r>
        <w:t xml:space="preserve">5.4. Recommendations for Emission Reduction</w:t>
      </w:r>
    </w:p>
    <w:p>
      <w:pPr>
        <w:pStyle w:val="FirstParagraph"/>
      </w:pPr>
      <w:r>
        <w:t xml:space="preserve">To significantly reduce the PCF of "tjghmxjpik", lwdknvyvln should focus on the following areas:</w:t>
      </w:r>
    </w:p>
    <w:p>
      <w:pPr>
        <w:numPr>
          <w:ilvl w:val="0"/>
          <w:numId w:val="1016"/>
        </w:numPr>
        <w:pStyle w:val="Compact"/>
      </w:pPr>
      <w:r>
        <w:rPr>
          <w:bCs/>
          <w:b/>
        </w:rPr>
        <w:t xml:space="preserve">Optimizing Use Phase Emissions:</w:t>
      </w:r>
    </w:p>
    <w:p>
      <w:pPr>
        <w:numPr>
          <w:ilvl w:val="1"/>
          <w:numId w:val="1017"/>
        </w:numPr>
        <w:pStyle w:val="Compact"/>
      </w:pPr>
      <w:r>
        <w:t xml:space="preserve">Improve product energy efficiency to reduce energy consumption during its lifespan.</w:t>
      </w:r>
    </w:p>
    <w:p>
      <w:pPr>
        <w:numPr>
          <w:ilvl w:val="1"/>
          <w:numId w:val="1017"/>
        </w:numPr>
        <w:pStyle w:val="Compact"/>
      </w:pPr>
      <w:r>
        <w:t xml:space="preserve">Explore opportunities for enabling the use of renewable energy by end-users (e.g., through smart charging, partnerships with green energy providers, or design for low-power modes).</w:t>
      </w:r>
    </w:p>
    <w:p>
      <w:pPr>
        <w:numPr>
          <w:ilvl w:val="0"/>
          <w:numId w:val="1016"/>
        </w:numPr>
        <w:pStyle w:val="Compact"/>
      </w:pPr>
      <w:r>
        <w:rPr>
          <w:bCs/>
          <w:b/>
        </w:rPr>
        <w:t xml:space="preserve">Decarbonizing Materials:</w:t>
      </w:r>
    </w:p>
    <w:p>
      <w:pPr>
        <w:numPr>
          <w:ilvl w:val="1"/>
          <w:numId w:val="1018"/>
        </w:numPr>
        <w:pStyle w:val="Compact"/>
      </w:pPr>
      <w:r>
        <w:t xml:space="preserve">Engage with suppliers of high-impact components (PCB, battery, aluminum) to source materials with lower embedded carbon (e.g., from suppliers using renewable energy in their manufacturing, or increasing recycled content).</w:t>
      </w:r>
    </w:p>
    <w:p>
      <w:pPr>
        <w:numPr>
          <w:ilvl w:val="1"/>
          <w:numId w:val="1018"/>
        </w:numPr>
        <w:pStyle w:val="Compact"/>
      </w:pPr>
      <w:r>
        <w:t xml:space="preserve">Investigate alternative materials with inherently lower carbon footprints.</w:t>
      </w:r>
    </w:p>
    <w:p>
      <w:pPr>
        <w:numPr>
          <w:ilvl w:val="0"/>
          <w:numId w:val="1016"/>
        </w:numPr>
        <w:pStyle w:val="Compact"/>
      </w:pPr>
      <w:r>
        <w:rPr>
          <w:bCs/>
          <w:b/>
        </w:rPr>
        <w:t xml:space="preserve">Enhancing Manufacturing Efficiency and Renewable Energy Procurement:</w:t>
      </w:r>
    </w:p>
    <w:p>
      <w:pPr>
        <w:numPr>
          <w:ilvl w:val="1"/>
          <w:numId w:val="1019"/>
        </w:numPr>
        <w:pStyle w:val="Compact"/>
      </w:pPr>
      <w:r>
        <w:t xml:space="preserve">Increase the percentage of renewable energy used in the Chinese manufacturing facility beyond 50%.</w:t>
      </w:r>
    </w:p>
    <w:p>
      <w:pPr>
        <w:numPr>
          <w:ilvl w:val="1"/>
          <w:numId w:val="1019"/>
        </w:numPr>
        <w:pStyle w:val="Compact"/>
      </w:pPr>
      <w:r>
        <w:t xml:space="preserve">Implement energy efficiency measures within the factory to reduce overall energy intensity per unit.</w:t>
      </w:r>
    </w:p>
    <w:p>
      <w:pPr>
        <w:numPr>
          <w:ilvl w:val="0"/>
          <w:numId w:val="1016"/>
        </w:numPr>
        <w:pStyle w:val="Compact"/>
      </w:pPr>
      <w:r>
        <w:rPr>
          <w:bCs/>
          <w:b/>
        </w:rPr>
        <w:t xml:space="preserve">Strengthening Circularity:</w:t>
      </w:r>
    </w:p>
    <w:p>
      <w:pPr>
        <w:numPr>
          <w:ilvl w:val="1"/>
          <w:numId w:val="1020"/>
        </w:numPr>
        <w:pStyle w:val="Compact"/>
      </w:pPr>
      <w:r>
        <w:t xml:space="preserve">Further develop and promote the existing take-back programs to maximize product lifespan extension, component reuse, and high-quality material recycling.</w:t>
      </w:r>
    </w:p>
    <w:p>
      <w:pPr>
        <w:numPr>
          <w:ilvl w:val="1"/>
          <w:numId w:val="1020"/>
        </w:numPr>
        <w:pStyle w:val="Compact"/>
      </w:pPr>
      <w:r>
        <w:t xml:space="preserve">Explore design-for-disassembly and repairability to improve recycling outcomes and material recovery rates.</w:t>
      </w:r>
    </w:p>
    <w:p>
      <w:pPr>
        <w:pStyle w:val="FirstParagraph"/>
      </w:pPr>
      <w:r>
        <w:t xml:space="preserve">Confidential - Internal Use Only | Page</w:t>
      </w:r>
      <w:r>
        <w:t xml:space="preserve"> </w:t>
      </w:r>
      <w:bookmarkStart w:id="45" w:name="pageNumber"/>
      <w:bookmarkEnd w:id="45"/>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tjghmxjpik</dc:title>
  <dc:creator/>
  <dc:description>Detailed Product Carbon Footprint (PCF) analysis report for tjghmxjpik, performed by vlruemqrgp for lwdknvyvln, adhering to GHG Protocol and 2026 updates.</dc:description>
  <dc:language>en</dc:language>
  <cp:keywords/>
  <dcterms:created xsi:type="dcterms:W3CDTF">2026-05-30T18:09:21Z</dcterms:created>
  <dcterms:modified xsi:type="dcterms:W3CDTF">2026-05-30T18:09:21Z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