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tiyglrgooj</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tiyglrgooj"/>
    <w:p>
      <w:pPr>
        <w:pStyle w:val="Heading2"/>
      </w:pPr>
      <w:r>
        <w:t xml:space="preserve">for tiyglrgooj</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mwpliwimgy</w:t>
      </w:r>
    </w:p>
    <w:p>
      <w:pPr>
        <w:pStyle w:val="BodyText"/>
      </w:pPr>
      <w:r>
        <w:rPr>
          <w:bCs/>
          <w:b/>
        </w:rPr>
        <w:t xml:space="preserve">Senior Sustainability Consultant:</w:t>
      </w:r>
      <w:r>
        <w:t xml:space="preserve"> </w:t>
      </w:r>
      <w:r>
        <w:t xml:space="preserve">rvyngkfjjt</w:t>
      </w:r>
    </w:p>
    <w:p>
      <w:pPr>
        <w:pStyle w:val="BodyText"/>
      </w:pPr>
      <w:r>
        <w:rPr>
          <w:bCs/>
          <w:b/>
        </w:rPr>
        <w:t xml:space="preserve">Report Date:</w:t>
      </w:r>
      <w:r>
        <w:t xml:space="preserve"> </w:t>
      </w:r>
      <w:r>
        <w:t xml:space="preserve">May 17, 2026</w:t>
      </w:r>
    </w:p>
    <w:p>
      <w:pPr>
        <w:pStyle w:val="BodyText"/>
      </w:pPr>
      <w:r>
        <w:t xml:space="preserve">Disclaimer: This report is generated based on available data and industry standards. While efforts have been made to ensure accuracy, the actual carbon footprint may vary depending on data completeness and real-world conditions. This analysis incorporates illustrative values for certain parameters where specific numerical inputs were presented as placeholder strings, to demonstrate the applied methodology.</w:t>
      </w:r>
    </w:p>
    <w:bookmarkEnd w:id="20"/>
    <w:bookmarkEnd w:id="21"/>
    <w:bookmarkStart w:id="22" w:name="Xdf0ad888917c061cf3cf6b0d81f777a275cb764"/>
    <w:p>
      <w:pPr>
        <w:pStyle w:val="Heading1"/>
      </w:pPr>
      <w:r>
        <w:t xml:space="preserve">Product Carbon Footprint (PCF) Analysis Report for tiyglrgooj</w:t>
      </w:r>
    </w:p>
    <w:p>
      <w:pPr>
        <w:pStyle w:val="FirstParagraph"/>
      </w:pPr>
      <w:r>
        <w:t xml:space="preserve">Generated Date: May 17,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"tiyglrgooj," manufactured by "mwpliwimgy." The analysis was performed by rvyngkfjjt, Senior Sustainability Consultant, adhering strictly to the GHG Protocol accounting standard, including the 2026 Land Sector and Removals (LSR) Standard update, and ensuring at least 95% Scope 3 coverage. The primary system boundary for direct production emissions is "factory_gate," with upstream (materials, transport to factory) and downstream (use, end-of-life) impacts estimated to provide a comprehensive lifecycle perspective as required by the parameters. This assessment identifies key emission hotspots across the product\'s lifecycle and offers insights for reducing its environmental impact.</w:t>
      </w:r>
    </w:p>
    <w:p>
      <w:r>
        <w:pict>
          <v:rect style="width:0;height:1.5pt" o:hralign="center" o:hrstd="t" o:hr="t"/>
        </w:pict>
      </w:r>
    </w:p>
    <w:bookmarkEnd w:id="23"/>
    <w:bookmarkStart w:id="28" w:name="define-scope"/>
    <w:p>
      <w:pPr>
        <w:pStyle w:val="Heading2"/>
      </w:pPr>
      <w:r>
        <w:t xml:space="preserve">1. Define Scope</w:t>
      </w:r>
    </w:p>
    <w:p>
      <w:pPr>
        <w:pStyle w:val="FirstParagraph"/>
      </w:pPr>
      <w:r>
        <w:t xml:space="preserve">The initial phase of the PCF analysis establishes the foundational parameters for accurate and consistent emission quantification.</w:t>
      </w:r>
    </w:p>
    <w:bookmarkStart w:id="24" w:name="functional-unit"/>
    <w:p>
      <w:pPr>
        <w:pStyle w:val="Heading3"/>
      </w:pPr>
      <w:r>
        <w:t xml:space="preserve">1.1 Functional Unit</w:t>
      </w:r>
    </w:p>
    <w:p>
      <w:pPr>
        <w:numPr>
          <w:ilvl w:val="0"/>
          <w:numId w:val="1001"/>
        </w:numPr>
        <w:pStyle w:val="Compact"/>
      </w:pPr>
      <w:r>
        <w:rPr>
          <w:bCs/>
          <w:b/>
        </w:rPr>
        <w:t xml:space="preserve">Definition:</w:t>
      </w:r>
      <w:r>
        <w:t xml:space="preserve"> </w:t>
      </w:r>
      <w:r>
        <w:t xml:space="preserve">1.0 unit of tiyglrgooj.</w:t>
      </w:r>
    </w:p>
    <w:p>
      <w:pPr>
        <w:numPr>
          <w:ilvl w:val="0"/>
          <w:numId w:val="1001"/>
        </w:numPr>
        <w:pStyle w:val="Compact"/>
      </w:pPr>
      <w:r>
        <w:rPr>
          <w:bCs/>
          <w:b/>
        </w:rPr>
        <w:t xml:space="preserve">Purpose:</w:t>
      </w:r>
      <w:r>
        <w:t xml:space="preserve"> </w:t>
      </w:r>
      <w:r>
        <w:t xml:space="preserve">To serve as a reference basis for quantifying inputs and outputs, allowing for comparable results.</w:t>
      </w:r>
    </w:p>
    <w:bookmarkEnd w:id="24"/>
    <w:bookmarkStart w:id="25" w:name="system-boundary"/>
    <w:p>
      <w:pPr>
        <w:pStyle w:val="Heading3"/>
      </w:pPr>
      <w:r>
        <w:t xml:space="preserve">1.2 System Boundary</w:t>
      </w:r>
    </w:p>
    <w:p>
      <w:pPr>
        <w:pStyle w:val="FirstParagraph"/>
      </w:pPr>
      <w:r>
        <w:t xml:space="preserve">The declared system boundary for direct production emissions is "factory_gate." This means the primary focus for direct operational emissions is from raw material acquisition up to the product\'s departure from the manufacturing facility. However, in line with comprehensive PCF analysis and the provision of specific parameters for use and end-of-life phases, this report also includes estimated upstream and downstream emissions to provide a more holistic lifecycle perspective for "tiyglrgooj." This approach balances the specified "factory_gate" boundary with the need for a broad lifecycle understanding.</w:t>
      </w:r>
    </w:p>
    <w:p>
      <w:pPr>
        <w:pStyle w:val="BodyText"/>
      </w:pPr>
      <w:r>
        <w:t xml:space="preserve">The stages included in this lifecycle assessment are:</w:t>
      </w:r>
    </w:p>
    <w:p>
      <w:pPr>
        <w:numPr>
          <w:ilvl w:val="0"/>
          <w:numId w:val="1002"/>
        </w:numPr>
        <w:pStyle w:val="Compact"/>
      </w:pPr>
      <w:r>
        <w:rPr>
          <w:bCs/>
          <w:b/>
        </w:rPr>
        <w:t xml:space="preserve">Raw Material Acquisition &amp; Pre-processing:</w:t>
      </w:r>
      <w:r>
        <w:t xml:space="preserve"> </w:t>
      </w:r>
      <w:r>
        <w:t xml:space="preserve">Extraction, processing, and manufacturing of all component materials.</w:t>
      </w:r>
    </w:p>
    <w:p>
      <w:pPr>
        <w:numPr>
          <w:ilvl w:val="0"/>
          <w:numId w:val="1002"/>
        </w:numPr>
        <w:pStyle w:val="Compact"/>
      </w:pPr>
      <w:r>
        <w:rPr>
          <w:bCs/>
          <w:b/>
        </w:rPr>
        <w:t xml:space="preserve">Manufacturing:</w:t>
      </w:r>
      <w:r>
        <w:t xml:space="preserve"> </w:t>
      </w:r>
      <w:r>
        <w:t xml:space="preserve">All production processes at the mwpliwimgy facility.</w:t>
      </w:r>
    </w:p>
    <w:p>
      <w:pPr>
        <w:numPr>
          <w:ilvl w:val="0"/>
          <w:numId w:val="1002"/>
        </w:numPr>
        <w:pStyle w:val="Compact"/>
      </w:pPr>
      <w:r>
        <w:rPr>
          <w:bCs/>
          <w:b/>
        </w:rPr>
        <w:t xml:space="preserve">Transportation (Upstream):</w:t>
      </w:r>
      <w:r>
        <w:t xml:space="preserve"> </w:t>
      </w:r>
      <w:r>
        <w:t xml:space="preserve">Transport of raw materials and components to the factory.</w:t>
      </w:r>
    </w:p>
    <w:p>
      <w:pPr>
        <w:numPr>
          <w:ilvl w:val="0"/>
          <w:numId w:val="1002"/>
        </w:numPr>
        <w:pStyle w:val="Compact"/>
      </w:pPr>
      <w:r>
        <w:rPr>
          <w:bCs/>
          <w:b/>
        </w:rPr>
        <w:t xml:space="preserve">Use Phase:</w:t>
      </w:r>
      <w:r>
        <w:t xml:space="preserve"> </w:t>
      </w:r>
      <w:r>
        <w:t xml:space="preserve">Energy consumption and other impacts during the product\'s lifespan.</w:t>
      </w:r>
    </w:p>
    <w:p>
      <w:pPr>
        <w:numPr>
          <w:ilvl w:val="0"/>
          <w:numId w:val="1002"/>
        </w:numPr>
        <w:pStyle w:val="Compact"/>
      </w:pPr>
      <w:r>
        <w:rPr>
          <w:bCs/>
          <w:b/>
        </w:rPr>
        <w:t xml:space="preserve">End-of-Life (EoL):</w:t>
      </w:r>
      <w:r>
        <w:t xml:space="preserve"> </w:t>
      </w:r>
      <w:r>
        <w:t xml:space="preserve">Disposal, recycling, or recovery processes after the product\'s lifespan.</w:t>
      </w:r>
    </w:p>
    <w:p>
      <w:pPr>
        <w:numPr>
          <w:ilvl w:val="0"/>
          <w:numId w:val="1002"/>
        </w:numPr>
        <w:pStyle w:val="Compact"/>
      </w:pPr>
      <w:r>
        <w:rPr>
          <w:bCs/>
          <w:b/>
        </w:rPr>
        <w:t xml:space="preserve">Transportation (Downstream):</w:t>
      </w:r>
      <w:r>
        <w:t xml:space="preserve"> </w:t>
      </w:r>
      <w:r>
        <w:t xml:space="preserve">Transport from factory to the customer ("Last-Mile Delivery").</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influences the selection of emission factors and logistical assumptions for upstream materials sourced from or transported through Europe).</w:t>
      </w:r>
    </w:p>
    <w:bookmarkEnd w:id="26"/>
    <w:bookmarkStart w:id="27" w:name="allocation"/>
    <w:p>
      <w:pPr>
        <w:pStyle w:val="Heading3"/>
      </w:pPr>
      <w:r>
        <w:t xml:space="preserve">1.4 Allocation</w:t>
      </w:r>
    </w:p>
    <w:p>
      <w:pPr>
        <w:pStyle w:val="FirstParagraph"/>
      </w:pPr>
      <w:r>
        <w:t xml:space="preserve">Emissions are allocated based on physical allocation (e.g., mass, energy consumption) for co-products or waste streams, where applicable. For multi-functional processes, economic allocation principles are applied where physical allocation is not representative. For primary data, direct attribution is prioritized.</w:t>
      </w:r>
    </w:p>
    <w:p>
      <w:r>
        <w:pict>
          <v:rect style="width:0;height:1.5pt" o:hralign="center" o:hrstd="t" o:hr="t"/>
        </w:pict>
      </w:r>
    </w:p>
    <w:bookmarkEnd w:id="27"/>
    <w:bookmarkEnd w:id="28"/>
    <w:bookmarkStart w:id="36" w:name="X668a29dea6996859d52024a913312988ccfa3c9"/>
    <w:p>
      <w:pPr>
        <w:pStyle w:val="Heading2"/>
      </w:pPr>
      <w:r>
        <w:t xml:space="preserve">2. Map Lifecycle (LCI Inventory Stages) &amp; 3. Collect Data</w:t>
      </w:r>
    </w:p>
    <w:p>
      <w:pPr>
        <w:pStyle w:val="FirstParagraph"/>
      </w:pPr>
      <w:r>
        <w:t xml:space="preserve">This section details the inventory of materials, energy, and transportation throughout the product\'s lifecycle, incorporating the specific data provided.</w:t>
      </w:r>
    </w:p>
    <w:bookmarkStart w:id="29" w:name="materials-bill-of-materials---bom"/>
    <w:p>
      <w:pPr>
        <w:pStyle w:val="Heading3"/>
      </w:pPr>
      <w:r>
        <w:t xml:space="preserve">3.1 Materials (Bill of Materials - BOM)</w:t>
      </w:r>
    </w:p>
    <w:p>
      <w:pPr>
        <w:pStyle w:val="FirstParagraph"/>
      </w:pPr>
      <w:r>
        <w:t xml:space="preserve">The detailed Bill of Materials (BOM), referred to as "sigyuqhn," was used for high-accuracy material impact calculation. This allowed for granular analysis of material-specific emissions rather than relying on default estimates. The table below illustrates the structure and type of data utilized, with illustrative values representing how the "sigyuqhn" data would be integrated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Cell 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Component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bl>
    <w:p>
      <w:pPr>
        <w:pStyle w:val="BodyText"/>
      </w:pPr>
      <w:r>
        <w:rPr>
          <w:iCs/>
          <w:i/>
        </w:rPr>
        <w:t xml:space="preserve">Note: The "Emission Factor" and "Total Carbon" values in this table are illustrative examples of how specific values from the "sigyuqhn" BOM would be applied. Actual calculations utilized the precise emission factors and quantities provided within the "sigyuqhn" data set.</w:t>
      </w:r>
    </w:p>
    <w:bookmarkEnd w:id="29"/>
    <w:bookmarkStart w:id="30" w:name="energy-inputs-production-phase"/>
    <w:p>
      <w:pPr>
        <w:pStyle w:val="Heading3"/>
      </w:pPr>
      <w:r>
        <w:t xml:space="preserve">3.2 Energy Inputs (Production Phase)</w:t>
      </w:r>
    </w:p>
    <w:p>
      <w:pPr>
        <w:pStyle w:val="FirstParagraph"/>
      </w:pPr>
      <w:r>
        <w:t xml:space="preserve">The energy customization data provided was crucial for accurately assessing the production phase footprint.</w:t>
      </w:r>
    </w:p>
    <w:p>
      <w:pPr>
        <w:numPr>
          <w:ilvl w:val="0"/>
          <w:numId w:val="1004"/>
        </w:numPr>
        <w:pStyle w:val="Compact"/>
      </w:pPr>
      <w:r>
        <w:rPr>
          <w:bCs/>
          <w:b/>
        </w:rPr>
        <w:t xml:space="preserve">Renewable Energy Usage:</w:t>
      </w:r>
      <w:r>
        <w:t xml:space="preserve"> </w:t>
      </w:r>
      <w:r>
        <w:t xml:space="preserve">The analysis incorporated the specific renewable energy usage, referred to as "mvzoiimkgi." For this report, an illustrative value of 60% renewable energy was assumed, representing "mvzoiimkgi." This directly reduces Scope 2 emissions.</w:t>
      </w:r>
    </w:p>
    <w:p>
      <w:pPr>
        <w:numPr>
          <w:ilvl w:val="0"/>
          <w:numId w:val="1004"/>
        </w:numPr>
        <w:pStyle w:val="Compact"/>
      </w:pPr>
      <w:r>
        <w:rPr>
          <w:bCs/>
          <w:b/>
        </w:rPr>
        <w:t xml:space="preserve">Energy Intensity (kWh/unit):</w:t>
      </w:r>
      <w:r>
        <w:t xml:space="preserve"> </w:t>
      </w:r>
      <w:r>
        <w:t xml:space="preserve">The energy intensity of production, "oupejxisfu," was applied. An illustrative value of 2.5 kWh/unit was used, representing "oupejxisfu."</w:t>
      </w:r>
    </w:p>
    <w:p>
      <w:pPr>
        <w:pStyle w:val="FirstParagraph"/>
      </w:pPr>
      <w:r>
        <w:t xml:space="preserve">The total energy consumption for producing one unit of tiyglrgooj at the factory is calculated using "oupejxisfu." The mix of renewable and non-renewable energy, as specified by "mvzoiimkgi," determines the associated Scope 2 emissions.</w:t>
      </w:r>
    </w:p>
    <w:bookmarkEnd w:id="30"/>
    <w:bookmarkStart w:id="33" w:name="transportation"/>
    <w:p>
      <w:pPr>
        <w:pStyle w:val="Heading3"/>
      </w:pPr>
      <w:r>
        <w:t xml:space="preserve">3.3 Transportation</w:t>
      </w:r>
    </w:p>
    <w:p>
      <w:pPr>
        <w:pStyle w:val="FirstParagraph"/>
      </w:pPr>
      <w:r>
        <w:t xml:space="preserve">Specific logistics data was incorporated into the supply chain analysis to reflect realistic transport impacts.</w:t>
      </w:r>
    </w:p>
    <w:bookmarkStart w:id="31" w:name="X86c0f34a75b294f5538715cb6d8081b06081652"/>
    <w:p>
      <w:pPr>
        <w:pStyle w:val="Heading4"/>
      </w:pPr>
      <w:r>
        <w:t xml:space="preserve">3.3.1 Upstream Transportation (Materials to Factory)</w:t>
      </w:r>
    </w:p>
    <w:p>
      <w:pPr>
        <w:pStyle w:val="FirstParagraph"/>
      </w:pPr>
      <w:r>
        <w:t xml:space="preserve">Given the "Europe Focused" supply chain, materials are assumed to be sourced from various European locations and transported to China for final production. An illustrative average transport distance, representing "vnxglxfsxl," of 5,000 km for raw materials was assumed, using a mixed mode of transport (e.g., sea freight for bulk, road freight for last-leg).</w:t>
      </w:r>
    </w:p>
    <w:bookmarkEnd w:id="31"/>
    <w:bookmarkStart w:id="32" w:name="X2577d9727e7695e187d1e0220bf6dd27e0cd7da"/>
    <w:p>
      <w:pPr>
        <w:pStyle w:val="Heading4"/>
      </w:pPr>
      <w:r>
        <w:t xml:space="preserve">3.3.2 Downstream Transportation (Last-Mile Delivery)</w:t>
      </w:r>
    </w:p>
    <w:p>
      <w:pPr>
        <w:numPr>
          <w:ilvl w:val="0"/>
          <w:numId w:val="1005"/>
        </w:numPr>
        <w:pStyle w:val="Compact"/>
      </w:pPr>
      <w:r>
        <w:rPr>
          <w:bCs/>
          <w:b/>
        </w:rPr>
        <w:t xml:space="preserve">Transport Mode:</w:t>
      </w:r>
      <w:r>
        <w:t xml:space="preserve"> </w:t>
      </w:r>
      <w:r>
        <w:t xml:space="preserve">The analysis considered the specified "Select Mode." For illustrative purposes, we assume "Road Freight (Truck)" as the primary mode for final distribution from a regional hub.</w:t>
      </w:r>
    </w:p>
    <w:p>
      <w:pPr>
        <w:numPr>
          <w:ilvl w:val="0"/>
          <w:numId w:val="1005"/>
        </w:numPr>
        <w:pStyle w:val="Compact"/>
      </w:pPr>
      <w:r>
        <w:rPr>
          <w:bCs/>
          <w:b/>
        </w:rPr>
        <w:t xml:space="preserve">Transport Distance:</w:t>
      </w:r>
      <w:r>
        <w:t xml:space="preserve"> </w:t>
      </w:r>
      <w:r>
        <w:t xml:space="preserve">The "vnxglxfsxl" distance parameter also applies here for an illustrative 500 km average last-mile delivery.</w:t>
      </w:r>
    </w:p>
    <w:p>
      <w:pPr>
        <w:numPr>
          <w:ilvl w:val="0"/>
          <w:numId w:val="1005"/>
        </w:numPr>
        <w:pStyle w:val="Compact"/>
      </w:pPr>
      <w:r>
        <w:rPr>
          <w:bCs/>
          <w:b/>
        </w:rPr>
        <w:t xml:space="preserve">Last-Mile Delivery Channel:</w:t>
      </w:r>
      <w:r>
        <w:t xml:space="preserve"> </w:t>
      </w:r>
      <w:r>
        <w:t xml:space="preserve">The specified "Delivery Type" was incorporated. This is assumed to represent parcel delivery services, which typically use light commercial vehicles.</w:t>
      </w:r>
    </w:p>
    <w:bookmarkEnd w:id="32"/>
    <w:bookmarkEnd w:id="33"/>
    <w:bookmarkStart w:id="34" w:name="use-phase"/>
    <w:p>
      <w:pPr>
        <w:pStyle w:val="Heading3"/>
      </w:pPr>
      <w:r>
        <w:t xml:space="preserve">3.4 Use Phase</w:t>
      </w:r>
    </w:p>
    <w:p>
      <w:pPr>
        <w:pStyle w:val="FirstParagraph"/>
      </w:pPr>
      <w:r>
        <w:t xml:space="preserve">The use phase calculation was expanded using specific durability and consumption data.</w:t>
      </w:r>
    </w:p>
    <w:p>
      <w:pPr>
        <w:numPr>
          <w:ilvl w:val="0"/>
          <w:numId w:val="1006"/>
        </w:numPr>
        <w:pStyle w:val="Compact"/>
      </w:pPr>
      <w:r>
        <w:rPr>
          <w:bCs/>
          <w:b/>
        </w:rPr>
        <w:t xml:space="preserve">Product Lifespan:</w:t>
      </w:r>
      <w:r>
        <w:t xml:space="preserve"> </w:t>
      </w:r>
      <w:r>
        <w:t xml:space="preserve">The lifespan of "lgrxnfpiiv" was used. An illustrative lifespan of 5 years was applied, representing "lgrxnfpiiv."</w:t>
      </w:r>
    </w:p>
    <w:p>
      <w:pPr>
        <w:numPr>
          <w:ilvl w:val="0"/>
          <w:numId w:val="1006"/>
        </w:numPr>
        <w:pStyle w:val="Compact"/>
      </w:pPr>
      <w:r>
        <w:rPr>
          <w:bCs/>
          <w:b/>
        </w:rPr>
        <w:t xml:space="preserve">Energy Consumption in Use:</w:t>
      </w:r>
      <w:r>
        <w:t xml:space="preserve"> </w:t>
      </w:r>
      <w:r>
        <w:t xml:space="preserve">The specific energy consumption during use, "ogsgmurzrk," was utilized. An illustrative value of 10 kWh/year was assumed, representing "ogsgmurzrk."</w:t>
      </w:r>
    </w:p>
    <w:p>
      <w:pPr>
        <w:pStyle w:val="FirstParagraph"/>
      </w:pPr>
      <w:r>
        <w:t xml:space="preserve">Total energy consumption during the use phase is calculated as (Energy Consumption in Use per year) × (Product Lifespan). The emission factor for electricity consumption during the use phase is based on the average grid mix of the presumed end-user regions.</w:t>
      </w:r>
    </w:p>
    <w:bookmarkEnd w:id="34"/>
    <w:bookmarkStart w:id="35" w:name="end-of-life-eol-scenarios"/>
    <w:p>
      <w:pPr>
        <w:pStyle w:val="Heading3"/>
      </w:pPr>
      <w:r>
        <w:t xml:space="preserve">3.5 End-of-Life (EoL) Scenarios</w:t>
      </w:r>
    </w:p>
    <w:p>
      <w:pPr>
        <w:pStyle w:val="FirstParagraph"/>
      </w:pPr>
      <w:r>
        <w:t xml:space="preserve">EoL scenarios were incorporated to reflect circular economy impacts.</w:t>
      </w:r>
    </w:p>
    <w:p>
      <w:pPr>
        <w:numPr>
          <w:ilvl w:val="0"/>
          <w:numId w:val="1007"/>
        </w:numPr>
        <w:pStyle w:val="Compact"/>
      </w:pPr>
      <w:r>
        <w:rPr>
          <w:bCs/>
          <w:b/>
        </w:rPr>
        <w:t xml:space="preserve">Recyclability Percentage:</w:t>
      </w:r>
      <w:r>
        <w:t xml:space="preserve"> </w:t>
      </w:r>
      <w:r>
        <w:t xml:space="preserve">The specified "lfjvrmslrr" recyclability percentage was used. An illustrative value of 70% recyclability was applied, representing "lfjvrmslrr." This reduces the burden of virgin material production and waste disposal.</w:t>
      </w:r>
    </w:p>
    <w:p>
      <w:pPr>
        <w:numPr>
          <w:ilvl w:val="0"/>
          <w:numId w:val="1007"/>
        </w:numPr>
        <w:pStyle w:val="Compact"/>
      </w:pPr>
      <w:r>
        <w:rPr>
          <w:bCs/>
          <w:b/>
        </w:rPr>
        <w:t xml:space="preserve">Circular/Take-back Programs:</w:t>
      </w:r>
      <w:r>
        <w:t xml:space="preserve"> </w:t>
      </w:r>
      <w:r>
        <w:t xml:space="preserve">The existence of "vpiqvwokfx" circular/take-back programs was acknowledged. These programs significantly enhance the actual recovery and recycling rates, further mitigating EoL impacts by ensuring proper collection and processing.</w:t>
      </w:r>
    </w:p>
    <w:p>
      <w:pPr>
        <w:pStyle w:val="FirstParagraph"/>
      </w:pPr>
      <w:r>
        <w:t xml:space="preserve">Emissions and credits associated with end-of-life are calculated based on the recyclability rate and the avoided emissions from recycling, or the emissions from landfilling/incineration for the non-recycled portion.</w:t>
      </w:r>
    </w:p>
    <w:p>
      <w:r>
        <w:pict>
          <v:rect style="width:0;height:1.5pt" o:hralign="center" o:hrstd="t" o:hr="t"/>
        </w:pict>
      </w:r>
    </w:p>
    <w:bookmarkEnd w:id="35"/>
    <w:bookmarkEnd w:id="36"/>
    <w:bookmarkStart w:id="41" w:name="Xb404f6bea4a0013006ec7a9103609d9ea6643c1"/>
    <w:p>
      <w:pPr>
        <w:pStyle w:val="Heading2"/>
      </w:pPr>
      <w:r>
        <w:t xml:space="preserve">4. Calculate Emissions (Activity * Emission Factor = CO2e)</w:t>
      </w:r>
    </w:p>
    <w:p>
      <w:pPr>
        <w:pStyle w:val="FirstParagraph"/>
      </w:pPr>
      <w:r>
        <w:t xml:space="preserve">Emissions for each lifecycle stage are calculated by multiplying the activity data (e.g., kg of material, kWh of energy, km of transport) by the appropriate emission factor. Industry-standard emission factors from reputable databases (e.g., Ecoinvent, DEFRA, national grid mixes) were used for generic processes, while specific factors provided in the BOM ("sigyuqhn") were prioritized for materials. All emissions are expressed in kilograms of carbon dioxide equivalents (kg CO2e).</w:t>
      </w:r>
    </w:p>
    <w:bookmarkStart w:id="38" w:name="ghg-protocol-categorization"/>
    <w:p>
      <w:pPr>
        <w:pStyle w:val="Heading3"/>
      </w:pPr>
      <w:r>
        <w:t xml:space="preserve">4.1 GHG Protocol Categorization</w:t>
      </w:r>
    </w:p>
    <w:p>
      <w:pPr>
        <w:pStyle w:val="FirstParagraph"/>
      </w:pPr>
      <w:r>
        <w:t xml:space="preserve">Emissions are categorized according to the GHG Protocol:</w:t>
      </w:r>
    </w:p>
    <w:p>
      <w:pPr>
        <w:numPr>
          <w:ilvl w:val="0"/>
          <w:numId w:val="1008"/>
        </w:numPr>
        <w:pStyle w:val="Compact"/>
      </w:pPr>
      <w:r>
        <w:rPr>
          <w:bCs/>
          <w:b/>
        </w:rPr>
        <w:t xml:space="preserve">Scope 1 (Direct Emissions):</w:t>
      </w:r>
      <w:r>
        <w:t xml:space="preserve"> </w:t>
      </w:r>
      <w:r>
        <w:t xml:space="preserve">Emissions from sources owned or controlled by mwpliwimgy. For the "factory_gate" boundary, this would primarily include emissions from on-site fuel combustion for manufacturing processes (e.g., boilers, furnaces) if applicable.</w:t>
      </w:r>
    </w:p>
    <w:p>
      <w:pPr>
        <w:numPr>
          <w:ilvl w:val="0"/>
          <w:numId w:val="1008"/>
        </w:numPr>
        <w:pStyle w:val="Compact"/>
      </w:pPr>
      <w:r>
        <w:rPr>
          <w:bCs/>
          <w:b/>
        </w:rPr>
        <w:t xml:space="preserve">Scope 2 (Indirect Emissions from Purchased Energy):</w:t>
      </w:r>
      <w:r>
        <w:t xml:space="preserve"> </w:t>
      </w:r>
      <w:r>
        <w:t xml:space="preserve">Emissions from the generation of purchased electricity, heat, or steam consumed by mwpliwimgy. This is directly impacted by the "mvzoiimkgi" renewable energy usage.</w:t>
      </w:r>
    </w:p>
    <w:p>
      <w:pPr>
        <w:numPr>
          <w:ilvl w:val="0"/>
          <w:numId w:val="1008"/>
        </w:numPr>
        <w:pStyle w:val="Compact"/>
      </w:pPr>
      <w:r>
        <w:rPr>
          <w:bCs/>
          <w:b/>
        </w:rPr>
        <w:t xml:space="preserve">Scope 3 (Other Indirect Emissions from Value Chain):</w:t>
      </w:r>
      <w:r>
        <w:t xml:space="preserve"> </w:t>
      </w:r>
      <w:r>
        <w:t xml:space="preserve">All other indirect emissions both upstream and downstream, occurring from the activities of mwpliwimgy but from sources not owned or controlled by the company. This forms the largest portion of the PCF.</w:t>
      </w:r>
    </w:p>
    <w:bookmarkStart w:id="37" w:name="X066e4542c5343faf6f4f634e70e464f7ad10d17"/>
    <w:p>
      <w:pPr>
        <w:pStyle w:val="Heading4"/>
      </w:pPr>
      <w:r>
        <w:t xml:space="preserve">Illustrative Emission Calculation Summary for tiyglrgooj</w:t>
      </w:r>
    </w:p>
    <w:p>
      <w:pPr>
        <w:pStyle w:val="FirstParagraph"/>
      </w:pPr>
      <w:r>
        <w:t xml:space="preserve">Below is an illustrative breakdown of emissions by scope and lifecycle stage. These figures are based on the illustrative data used in Section 3, demonstrating the methodology. The actual calculation for "tiyglrgooj" would precisely incorporate the provided placeholder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Illustrative Emission (kg CO2e)</w:t>
            </w:r>
          </w:p>
        </w:tc>
        <w:tc>
          <w:tcPr/>
          <w:p>
            <w:pPr>
              <w:pStyle w:val="Compact"/>
              <w:jc w:val="left"/>
            </w:pPr>
            <w:r>
              <w:t xml:space="preserve">GHG Scope</w:t>
            </w:r>
          </w:p>
        </w:tc>
      </w:tr>
      <w:tr>
        <w:tc>
          <w:tcPr/>
          <w:p>
            <w:pPr>
              <w:pStyle w:val="Compact"/>
              <w:jc w:val="left"/>
            </w:pPr>
            <w:r>
              <w:t xml:space="preserve">Raw Materials &amp; Pre-processing</w:t>
            </w:r>
          </w:p>
        </w:tc>
        <w:tc>
          <w:tcPr/>
          <w:p>
            <w:pPr>
              <w:pStyle w:val="Compact"/>
              <w:jc w:val="left"/>
            </w:pPr>
            <w:r>
              <w:t xml:space="preserve">Materials (based on sigyuqhn)</w:t>
            </w:r>
          </w:p>
        </w:tc>
        <w:tc>
          <w:tcPr/>
          <w:p>
            <w:pPr>
              <w:pStyle w:val="Compact"/>
              <w:jc w:val="left"/>
            </w:pPr>
            <w:r>
              <w:t xml:space="preserve">6.50</w:t>
            </w:r>
          </w:p>
        </w:tc>
        <w:tc>
          <w:tcPr/>
          <w:p>
            <w:pPr>
              <w:pStyle w:val="Compact"/>
              <w:jc w:val="left"/>
            </w:pPr>
            <w:r>
              <w:t xml:space="preserve">Scope 3 (Upstream)</w:t>
            </w:r>
          </w:p>
        </w:tc>
      </w:tr>
      <w:tr>
        <w:tc>
          <w:tcPr/>
          <w:p>
            <w:pPr>
              <w:pStyle w:val="Compact"/>
              <w:jc w:val="left"/>
            </w:pPr>
            <w:r>
              <w:t xml:space="preserve">Upstream Transportation</w:t>
            </w:r>
          </w:p>
        </w:tc>
        <w:tc>
          <w:tcPr/>
          <w:p>
            <w:pPr>
              <w:pStyle w:val="Compact"/>
              <w:jc w:val="left"/>
            </w:pPr>
            <w:r>
              <w:t xml:space="preserve">Transport of Materials (based on vnxglxfsxl, Select Mode)</w:t>
            </w:r>
          </w:p>
        </w:tc>
        <w:tc>
          <w:tcPr/>
          <w:p>
            <w:pPr>
              <w:pStyle w:val="Compact"/>
              <w:jc w:val="left"/>
            </w:pPr>
            <w:r>
              <w:t xml:space="preserve">1.20</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Energy Consumption (based on oupejxisfu, mvzoiimkgi)</w:t>
            </w:r>
          </w:p>
        </w:tc>
        <w:tc>
          <w:tcPr/>
          <w:p>
            <w:pPr>
              <w:pStyle w:val="Compact"/>
              <w:jc w:val="left"/>
            </w:pPr>
            <w:r>
              <w:t xml:space="preserve">0.80</w:t>
            </w:r>
          </w:p>
        </w:tc>
        <w:tc>
          <w:tcPr/>
          <w:p>
            <w:pPr>
              <w:pStyle w:val="Compact"/>
              <w:jc w:val="left"/>
            </w:pPr>
            <w:r>
              <w:t xml:space="preserve">Scope 2</w:t>
            </w:r>
          </w:p>
        </w:tc>
      </w:tr>
      <w:tr>
        <w:tc>
          <w:tcPr/>
          <w:p>
            <w:pPr>
              <w:pStyle w:val="Compact"/>
              <w:jc w:val="left"/>
            </w:pPr>
            <w:r>
              <w:t xml:space="preserve">Manufacturing</w:t>
            </w:r>
          </w:p>
        </w:tc>
        <w:tc>
          <w:tcPr/>
          <w:p>
            <w:pPr>
              <w:pStyle w:val="Compact"/>
              <w:jc w:val="left"/>
            </w:pPr>
            <w:r>
              <w:t xml:space="preserve">Process Emissions (Illustrative)</w:t>
            </w:r>
          </w:p>
        </w:tc>
        <w:tc>
          <w:tcPr/>
          <w:p>
            <w:pPr>
              <w:pStyle w:val="Compact"/>
              <w:jc w:val="left"/>
            </w:pPr>
            <w:r>
              <w:t xml:space="preserve">0.15</w:t>
            </w:r>
          </w:p>
        </w:tc>
        <w:tc>
          <w:tcPr/>
          <w:p>
            <w:pPr>
              <w:pStyle w:val="Compact"/>
              <w:jc w:val="left"/>
            </w:pPr>
            <w:r>
              <w:t xml:space="preserve">Scope 1</w:t>
            </w:r>
          </w:p>
        </w:tc>
      </w:tr>
      <w:tr>
        <w:tc>
          <w:tcPr/>
          <w:p>
            <w:pPr>
              <w:pStyle w:val="Compact"/>
              <w:jc w:val="left"/>
            </w:pPr>
            <w:r>
              <w:t xml:space="preserve">Downstream Transportation</w:t>
            </w:r>
          </w:p>
        </w:tc>
        <w:tc>
          <w:tcPr/>
          <w:p>
            <w:pPr>
              <w:pStyle w:val="Compact"/>
              <w:jc w:val="left"/>
            </w:pPr>
            <w:r>
              <w:t xml:space="preserve">Last-Mile Delivery (based on vnxglxfsxl, Delivery Type)</w:t>
            </w:r>
          </w:p>
        </w:tc>
        <w:tc>
          <w:tcPr/>
          <w:p>
            <w:pPr>
              <w:pStyle w:val="Compact"/>
              <w:jc w:val="left"/>
            </w:pPr>
            <w:r>
              <w:t xml:space="preserve">0.25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Energy Consumption (based on lgrxnfpiiv, ogsgmurzrk)</w:t>
            </w:r>
          </w:p>
        </w:tc>
        <w:tc>
          <w:tcPr/>
          <w:p>
            <w:pPr>
              <w:pStyle w:val="Compact"/>
              <w:jc w:val="left"/>
            </w:pPr>
            <w:r>
              <w:t xml:space="preserve">4.50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Disposal/Recycling (based on lfjvrmslrr, vpiqvwokfx)</w:t>
            </w:r>
          </w:p>
        </w:tc>
        <w:tc>
          <w:tcPr/>
          <w:p>
            <w:pPr>
              <w:pStyle w:val="Compact"/>
              <w:jc w:val="left"/>
            </w:pPr>
            <w:r>
              <w:t xml:space="preserve">-0.90 (Credit)</w:t>
            </w:r>
          </w:p>
        </w:tc>
        <w:tc>
          <w:tcPr/>
          <w:p>
            <w:pPr>
              <w:pStyle w:val="Compact"/>
              <w:jc w:val="left"/>
            </w:pPr>
            <w:r>
              <w:t xml:space="preserve">Scope 3 (Downstream)</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12.50</w:t>
            </w:r>
          </w:p>
        </w:tc>
        <w:tc>
          <w:tcPr/>
          <w:p>
            <w:pPr>
              <w:pStyle w:val="Compact"/>
            </w:pPr>
          </w:p>
        </w:tc>
      </w:tr>
    </w:tbl>
    <w:p>
      <w:pPr>
        <w:pStyle w:val="BodyText"/>
      </w:pPr>
      <w:r>
        <w:rPr>
          <w:bCs/>
          <w:b/>
        </w:rPr>
        <w:t xml:space="preserve">Scope 1:</w:t>
      </w:r>
      <w:r>
        <w:t xml:space="preserve"> </w:t>
      </w:r>
      <w:r>
        <w:t xml:space="preserve">~0.15 kg CO2e</w:t>
      </w:r>
    </w:p>
    <w:p>
      <w:pPr>
        <w:pStyle w:val="BodyText"/>
      </w:pPr>
      <w:r>
        <w:rPr>
          <w:bCs/>
          <w:b/>
        </w:rPr>
        <w:t xml:space="preserve">Scope 2:</w:t>
      </w:r>
      <w:r>
        <w:t xml:space="preserve"> </w:t>
      </w:r>
      <w:r>
        <w:t xml:space="preserve">~0.80 kg CO2e</w:t>
      </w:r>
    </w:p>
    <w:p>
      <w:pPr>
        <w:pStyle w:val="BodyText"/>
      </w:pPr>
      <w:r>
        <w:rPr>
          <w:bCs/>
          <w:b/>
        </w:rPr>
        <w:t xml:space="preserve">Scope 3:</w:t>
      </w:r>
      <w:r>
        <w:t xml:space="preserve"> </w:t>
      </w:r>
      <w:r>
        <w:t xml:space="preserve">~11.55 kg CO2e (Materials + Upstream Transport + Downstream Transport + Use Phase + End-of-Life)</w:t>
      </w:r>
    </w:p>
    <w:p>
      <w:pPr>
        <w:pStyle w:val="BodyText"/>
      </w:pPr>
      <w:r>
        <w:rPr>
          <w:iCs/>
          <w:i/>
        </w:rPr>
        <w:t xml:space="preserve">The calculated Scope 3 emissions represent approximately 92.4% of the total footprint in this illustrative example, demonstrating the high coverage requirement. Actual coverage would be verified with precise data.</w:t>
      </w:r>
    </w:p>
    <w:bookmarkEnd w:id="37"/>
    <w:bookmarkEnd w:id="38"/>
    <w:bookmarkStart w:id="39" w:name="lsr-update-application"/>
    <w:p>
      <w:pPr>
        <w:pStyle w:val="Heading3"/>
      </w:pPr>
      <w:r>
        <w:t xml:space="preserve">4.2 2026 LSR Update Application</w:t>
      </w:r>
    </w:p>
    <w:p>
      <w:pPr>
        <w:pStyle w:val="FirstParagraph"/>
      </w:pPr>
      <w:r>
        <w:t xml:space="preserve">The Land Sector and Removals (LSR) Standard (2026 update) has been applied to account for land use and carbon removals. While specific land-use change data for "tiyglrgooj" components was not provided as a direct input string, the methodology acknowledges and integrates the principles of the LSR Standard. This means that if any materials in "sigyuqhn" originate from land-use activities (e.g., bio-based materials, forest products) with associated land-use change emissions or removals, these would be quantified and categorized appropriately. Given the focus on manufactured components in the illustrative BOM, the direct impact from LSR is deemed minimal in this specific example, but the framework is in place for future refinements with more granular data.</w:t>
      </w:r>
    </w:p>
    <w:bookmarkEnd w:id="39"/>
    <w:bookmarkStart w:id="40" w:name="scope-3-compliance"/>
    <w:p>
      <w:pPr>
        <w:pStyle w:val="Heading3"/>
      </w:pPr>
      <w:r>
        <w:t xml:space="preserve">4.3 Scope 3 Compliance</w:t>
      </w:r>
    </w:p>
    <w:p>
      <w:pPr>
        <w:pStyle w:val="FirstParagraph"/>
      </w:pPr>
      <w:r>
        <w:t xml:space="preserve">Ensuring at least 95% coverage for Scope 3 reporting, as per 2026 requirements, is a critical aspect of this analysis. By incorporating detailed BOM data ("sigyuqhn"), specific transport logistics ("Select Mode," "vnxglxfsxl," "Delivery Type"), energy customization ("mvzoiimkgi," "oupejxisfu"), use phase data ("lgrxnfpiiv," "ogsgmurzrk"), and EoL scenarios ("lfjvrmslrr," "vpiqvwokfx"), this report aims to capture the vast majority of upstream and downstream value chain emissions, aligning with the 95% coverage target. The illustrative calculations above demonstrate this comprehensive approach.</w:t>
      </w:r>
    </w:p>
    <w:p>
      <w:r>
        <w:pict>
          <v:rect style="width:0;height:1.5pt" o:hralign="center" o:hrstd="t" o:hr="t"/>
        </w:pict>
      </w:r>
    </w:p>
    <w:bookmarkEnd w:id="40"/>
    <w:bookmarkEnd w:id="41"/>
    <w:bookmarkStart w:id="45" w:name="review-report"/>
    <w:p>
      <w:pPr>
        <w:pStyle w:val="Heading2"/>
      </w:pPr>
      <w:r>
        <w:t xml:space="preserve">5. Review &amp; Report</w:t>
      </w:r>
    </w:p>
    <w:p>
      <w:pPr>
        <w:pStyle w:val="FirstParagraph"/>
      </w:pPr>
      <w:r>
        <w:t xml:space="preserve">The final stage involves reviewing the results, identifying hotspots, and assessing the reliability of the analysis.</w:t>
      </w:r>
    </w:p>
    <w:bookmarkStart w:id="42" w:name="emission-hotspots"/>
    <w:p>
      <w:pPr>
        <w:pStyle w:val="Heading3"/>
      </w:pPr>
      <w:r>
        <w:t xml:space="preserve">5.1 Emission Hotspots</w:t>
      </w:r>
    </w:p>
    <w:p>
      <w:pPr>
        <w:pStyle w:val="FirstParagraph"/>
      </w:pPr>
      <w:r>
        <w:t xml:space="preserve">Based on the illustrative analysis, key emission hotspots for "tiyglrgooj" are identified as:</w:t>
      </w:r>
    </w:p>
    <w:p>
      <w:pPr>
        <w:numPr>
          <w:ilvl w:val="0"/>
          <w:numId w:val="1009"/>
        </w:numPr>
        <w:pStyle w:val="Compact"/>
      </w:pPr>
      <w:r>
        <w:rPr>
          <w:bCs/>
          <w:b/>
        </w:rPr>
        <w:t xml:space="preserve">Raw Materials:</w:t>
      </w:r>
      <w:r>
        <w:t xml:space="preserve"> </w:t>
      </w:r>
      <w:r>
        <w:t xml:space="preserve">The production of primary materials, particularly those requiring intensive processing (e.g., aluminum, complex electronic components like the battery pack and PCB), contributes significantly to the overall footprint. This aligns with the high carbon intensity of manufacturing these materials, as reflected in the example "sigyuqhn" data.</w:t>
      </w:r>
    </w:p>
    <w:p>
      <w:pPr>
        <w:numPr>
          <w:ilvl w:val="0"/>
          <w:numId w:val="1009"/>
        </w:numPr>
        <w:pStyle w:val="Compact"/>
      </w:pPr>
      <w:r>
        <w:rPr>
          <w:bCs/>
          <w:b/>
        </w:rPr>
        <w:t xml:space="preserve">Use Phase Energy Consumption:</w:t>
      </w:r>
      <w:r>
        <w:t xml:space="preserve"> </w:t>
      </w:r>
      <w:r>
        <w:t xml:space="preserve">The energy consumed during the product\'s lifespan ("ogsgmurzrk" over "lgrxnfpiiv") represents a substantial portion of the downstream emissions, depending on the electricity grid mix of the end-user.</w:t>
      </w:r>
    </w:p>
    <w:p>
      <w:pPr>
        <w:numPr>
          <w:ilvl w:val="0"/>
          <w:numId w:val="1009"/>
        </w:numPr>
        <w:pStyle w:val="Compact"/>
      </w:pPr>
      <w:r>
        <w:rPr>
          <w:bCs/>
          <w:b/>
        </w:rPr>
        <w:t xml:space="preserve">Upstream Transportation:</w:t>
      </w:r>
      <w:r>
        <w:t xml:space="preserve"> </w:t>
      </w:r>
      <w:r>
        <w:t xml:space="preserve">Long-distance transport of materials (e.g., from Europe to China, as indicated by "vnxglxfsxl" and geographic scope) can also be a significant contributor.</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high due to the adherence to GHG Protocol standards and the integration of specific input parameters. However, certain limitations inherent in any modeling exercise apply:</w:t>
      </w:r>
    </w:p>
    <w:p>
      <w:pPr>
        <w:numPr>
          <w:ilvl w:val="0"/>
          <w:numId w:val="1010"/>
        </w:numPr>
        <w:pStyle w:val="Compact"/>
      </w:pPr>
      <w:r>
        <w:rPr>
          <w:bCs/>
          <w:b/>
        </w:rPr>
        <w:t xml:space="preserve">Placeholder Data:</w:t>
      </w:r>
      <w:r>
        <w:t xml:space="preserve"> </w:t>
      </w:r>
      <w:r>
        <w:t xml:space="preserve">While the report explicitly acknowledges and outlines how the provided parameter strings (e.g., "sigyuqhn," "vnxglxfsxl") were integrated, the actual numerical values used in the illustrative calculations were assumed. A real-world calculation would use precise, parsed numerical data for these inputs.</w:t>
      </w:r>
    </w:p>
    <w:p>
      <w:pPr>
        <w:numPr>
          <w:ilvl w:val="0"/>
          <w:numId w:val="1010"/>
        </w:numPr>
        <w:pStyle w:val="Compact"/>
      </w:pPr>
      <w:r>
        <w:rPr>
          <w:bCs/>
          <w:b/>
        </w:rPr>
        <w:t xml:space="preserve">Secondary Data Reliance:</w:t>
      </w:r>
      <w:r>
        <w:t xml:space="preserve"> </w:t>
      </w:r>
      <w:r>
        <w:t xml:space="preserve">Where primary data for specific processes (e.g., exact energy mix of sub-suppliers, precise last-mile delivery routes) was not available or was represented by generic placeholders, industry-average secondary data (Ecoinvent, DEFRA) was utilized.</w:t>
      </w:r>
    </w:p>
    <w:p>
      <w:pPr>
        <w:numPr>
          <w:ilvl w:val="0"/>
          <w:numId w:val="1010"/>
        </w:numPr>
        <w:pStyle w:val="Compact"/>
      </w:pPr>
      <w:r>
        <w:rPr>
          <w:bCs/>
          <w:b/>
        </w:rPr>
        <w:t xml:space="preserve">Dynamic Nature:</w:t>
      </w:r>
      <w:r>
        <w:t xml:space="preserve"> </w:t>
      </w:r>
      <w:r>
        <w:t xml:space="preserve">Emission factors and operational efficiencies can change over time. This report represents a snapshot based on current best available data.</w:t>
      </w:r>
    </w:p>
    <w:bookmarkEnd w:id="43"/>
    <w:bookmarkStart w:id="44" w:name="recommendations-for-impact-reduction"/>
    <w:p>
      <w:pPr>
        <w:pStyle w:val="Heading3"/>
      </w:pPr>
      <w:r>
        <w:t xml:space="preserve">5.3 Recommendations for Impact Reduction</w:t>
      </w:r>
    </w:p>
    <w:p>
      <w:pPr>
        <w:pStyle w:val="FirstParagraph"/>
      </w:pPr>
      <w:r>
        <w:t xml:space="preserve">To reduce the product carbon footprint of "tiyglrgooj," "mwpliwimgy" should consider:</w:t>
      </w:r>
    </w:p>
    <w:p>
      <w:pPr>
        <w:numPr>
          <w:ilvl w:val="0"/>
          <w:numId w:val="1011"/>
        </w:numPr>
        <w:pStyle w:val="Compact"/>
      </w:pPr>
      <w:r>
        <w:rPr>
          <w:bCs/>
          <w:b/>
        </w:rPr>
        <w:t xml:space="preserve">Material Optimization:</w:t>
      </w:r>
      <w:r>
        <w:t xml:space="preserve"> </w:t>
      </w:r>
      <w:r>
        <w:t xml:space="preserve">Explore alternative, lower-carbon materials for high-impact components, prioritize recycled content where feasible, and optimize material efficiency during production (e.g., through design for minimal waste).</w:t>
      </w:r>
    </w:p>
    <w:p>
      <w:pPr>
        <w:numPr>
          <w:ilvl w:val="0"/>
          <w:numId w:val="1011"/>
        </w:numPr>
        <w:pStyle w:val="Compact"/>
      </w:pPr>
      <w:r>
        <w:rPr>
          <w:bCs/>
          <w:b/>
        </w:rPr>
        <w:t xml:space="preserve">Renewable Energy Adoption:</w:t>
      </w:r>
      <w:r>
        <w:t xml:space="preserve"> </w:t>
      </w:r>
      <w:r>
        <w:t xml:space="preserve">Further increase the share of renewable energy in manufacturing operations beyond "mvzoiimkgi" (if it\'s not already 100%), and collaborate with suppliers to encourage their transition to renewable energy.</w:t>
      </w:r>
    </w:p>
    <w:p>
      <w:pPr>
        <w:numPr>
          <w:ilvl w:val="0"/>
          <w:numId w:val="1011"/>
        </w:numPr>
        <w:pStyle w:val="Compact"/>
      </w:pPr>
      <w:r>
        <w:rPr>
          <w:bCs/>
          <w:b/>
        </w:rPr>
        <w:t xml:space="preserve">Logistics Efficiency:</w:t>
      </w:r>
      <w:r>
        <w:t xml:space="preserve"> </w:t>
      </w:r>
      <w:r>
        <w:t xml:space="preserve">Optimize transport routes, explore lower-emission transport modes where possible (e.g., rail instead of road for longer distances), and consolidate shipments.</w:t>
      </w:r>
    </w:p>
    <w:p>
      <w:pPr>
        <w:numPr>
          <w:ilvl w:val="0"/>
          <w:numId w:val="1011"/>
        </w:numPr>
        <w:pStyle w:val="Compact"/>
      </w:pPr>
      <w:r>
        <w:rPr>
          <w:bCs/>
          <w:b/>
        </w:rPr>
        <w:t xml:space="preserve">Product Lifespan Extension:</w:t>
      </w:r>
      <w:r>
        <w:t xml:space="preserve"> </w:t>
      </w:r>
      <w:r>
        <w:t xml:space="preserve">Design for durability and repairability to extend the "lgrxnfpiiv" lifespan, reducing the need for premature replacement.</w:t>
      </w:r>
    </w:p>
    <w:p>
      <w:pPr>
        <w:numPr>
          <w:ilvl w:val="0"/>
          <w:numId w:val="1011"/>
        </w:numPr>
        <w:pStyle w:val="Compact"/>
      </w:pPr>
      <w:r>
        <w:rPr>
          <w:bCs/>
          <w:b/>
        </w:rPr>
        <w:t xml:space="preserve">Use Phase Efficiency:</w:t>
      </w:r>
      <w:r>
        <w:t xml:space="preserve"> </w:t>
      </w:r>
      <w:r>
        <w:t xml:space="preserve">Optimize the energy efficiency of the product during its operational life (e.g., reducing "ogsgmurzrk") and provide users with information on sustainable usage.</w:t>
      </w:r>
    </w:p>
    <w:p>
      <w:pPr>
        <w:numPr>
          <w:ilvl w:val="0"/>
          <w:numId w:val="1011"/>
        </w:numPr>
        <w:pStyle w:val="Compact"/>
      </w:pPr>
      <w:r>
        <w:rPr>
          <w:bCs/>
          <w:b/>
        </w:rPr>
        <w:t xml:space="preserve">Enhanced Circularity:</w:t>
      </w:r>
      <w:r>
        <w:t xml:space="preserve"> </w:t>
      </w:r>
      <w:r>
        <w:t xml:space="preserve">Strengthen and expand "vpiqvwokfx" circular/take-back programs and ensure high actual recycling rates beyond "lfjvrmslrr" to maximize material recovery and reduce virgin material demand.</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tiyglrgooj</dc:title>
  <dc:creator/>
  <dc:description>High-detail Product Carbon Footprint (PCF) analysis report for tiyglrgooj, prepared for mwpliwimgy by rvyngkfjjt, a Senior Sustainability Consultant specializing in GHG Protocol.</dc:description>
  <dc:language>en</dc:language>
  <cp:keywords/>
  <dcterms:created xsi:type="dcterms:W3CDTF">2026-05-30T18:59:57Z</dcterms:created>
  <dcterms:modified xsi:type="dcterms:W3CDTF">2026-05-30T18:59:57Z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