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Titanium</w:t>
      </w:r>
      <w:r>
        <w:t xml:space="preserve"> </w:t>
      </w:r>
      <w:r>
        <w:t xml:space="preserve">Dioxide</w:t>
      </w:r>
      <w:r>
        <w:t xml:space="preserve"> </w:t>
      </w:r>
      <w:r>
        <w:t xml:space="preserve">(TiO2)</w:t>
      </w:r>
      <w:r>
        <w:t xml:space="preserve"> </w:t>
      </w:r>
      <w:r>
        <w:t xml:space="preserve">|</w:t>
      </w:r>
      <w:r>
        <w:t xml:space="preserve"> </w:t>
      </w:r>
      <w:r>
        <w:t xml:space="preserve">ISO</w:t>
      </w:r>
      <w:r>
        <w:t xml:space="preserve"> </w:t>
      </w:r>
      <w:r>
        <w:t xml:space="preserve">14064</w:t>
      </w:r>
      <w:r>
        <w:t xml:space="preserve"> </w:t>
      </w:r>
      <w:r>
        <w:t xml:space="preserve">Compliance</w:t>
      </w:r>
    </w:p>
    <w:p>
      <w:pPr>
        <w:pStyle w:val="FirstParagraph"/>
      </w:pPr>
      <w:r>
        <w:t xml:space="preserve">carboncalcpcf.com</w:t>
      </w:r>
    </w:p>
    <w:p>
      <w:pPr>
        <w:pStyle w:val="BodyText"/>
      </w:pPr>
      <w:r>
        <w:t xml:space="preserve">VERIFIED CARBON AUDIT REPORT • ISO 14064 ALIGNED</w:t>
      </w:r>
    </w:p>
    <w:bookmarkStart w:id="20" w:name="Xdc2079ec38c38809cc79da315cf30d650462c9b"/>
    <w:p>
      <w:pPr>
        <w:pStyle w:val="Heading1"/>
      </w:pPr>
      <w:r>
        <w:t xml:space="preserve">Product Carbon Footprint (PCF) Verification Assessment</w:t>
      </w:r>
    </w:p>
    <w:p>
      <w:pPr>
        <w:pStyle w:val="FirstParagraph"/>
      </w:pPr>
      <w:r>
        <w:t xml:space="preserve">Cradle-to-Gate Life Cycle GHG Quantification for Titanium Dioxide (TiO</w:t>
      </w:r>
      <w:r>
        <w:rPr>
          <w:vertAlign w:val="subscript"/>
        </w:rPr>
        <w:t xml:space="preserve">2</w:t>
      </w:r>
      <w:r>
        <w:t xml:space="preserve">) Pigment</w:t>
      </w:r>
    </w:p>
    <w:p>
      <w:pPr>
        <w:pStyle w:val="BodyText"/>
      </w:pPr>
      <w:r>
        <w:t xml:space="preserve">Product Name</w:t>
      </w:r>
      <w:r>
        <w:t xml:space="preserve"> </w:t>
      </w:r>
      <w:r>
        <w:t xml:space="preserve">Titanium Dioxide (TiO</w:t>
      </w:r>
      <w:r>
        <w:rPr>
          <w:vertAlign w:val="subscript"/>
        </w:rPr>
        <w:t xml:space="preserve">2</w:t>
      </w:r>
      <w:r>
        <w:t xml:space="preserve">) - Rutile Grade</w:t>
      </w:r>
    </w:p>
    <w:p>
      <w:pPr>
        <w:pStyle w:val="BodyText"/>
      </w:pPr>
      <w:r>
        <w:t xml:space="preserve">Accounting Standard</w:t>
      </w:r>
      <w:r>
        <w:t xml:space="preserve"> </w:t>
      </w:r>
      <w:r>
        <w:t xml:space="preserve">ISO 14064-1:2018 / ISO 14067</w:t>
      </w:r>
    </w:p>
    <w:p>
      <w:pPr>
        <w:pStyle w:val="BodyText"/>
      </w:pPr>
      <w:r>
        <w:t xml:space="preserve">Functional Unit</w:t>
      </w:r>
      <w:r>
        <w:t xml:space="preserve"> </w:t>
      </w:r>
      <w:r>
        <w:t xml:space="preserve">1.0 kg TiO</w:t>
      </w:r>
      <w:r>
        <w:rPr>
          <w:vertAlign w:val="subscript"/>
        </w:rPr>
        <w:t xml:space="preserve">2</w:t>
      </w:r>
      <w:r>
        <w:t xml:space="preserve"> </w:t>
      </w:r>
      <w:r>
        <w:t xml:space="preserve">(Factory Gate)</w:t>
      </w:r>
    </w:p>
    <w:p>
      <w:pPr>
        <w:pStyle w:val="BodyText"/>
      </w:pPr>
      <w:r>
        <w:t xml:space="preserve">System Boundary</w:t>
      </w:r>
      <w:r>
        <w:t xml:space="preserve"> </w:t>
      </w:r>
      <w:r>
        <w:t xml:space="preserve">Factory Gate (Cradle-to-Gate)</w:t>
      </w:r>
    </w:p>
    <w:p>
      <w:pPr>
        <w:pStyle w:val="BodyText"/>
      </w:pPr>
      <w:r>
        <w:t xml:space="preserve">Primary Manufacturing Location</w:t>
      </w:r>
      <w:r>
        <w:t xml:space="preserve"> </w:t>
      </w:r>
      <w:r>
        <w:t xml:space="preserve">China (Sichuan/Shandong Industrial Cluster)</w:t>
      </w:r>
    </w:p>
    <w:p>
      <w:pPr>
        <w:pStyle w:val="BodyText"/>
      </w:pPr>
      <w:r>
        <w:t xml:space="preserve">Supply Chain Focus</w:t>
      </w:r>
      <w:r>
        <w:t xml:space="preserve"> </w:t>
      </w:r>
      <w:r>
        <w:t xml:space="preserve">Asia-Pacific Regional Supply Network</w:t>
      </w:r>
    </w:p>
    <w:p>
      <w:pPr>
        <w:pStyle w:val="BodyText"/>
      </w:pPr>
      <w:r>
        <w:t xml:space="preserve">Maritime Inbound Logistics</w:t>
      </w:r>
      <w:r>
        <w:t xml:space="preserve"> </w:t>
      </w:r>
      <w:r>
        <w:t xml:space="preserve">Bulk Sea Freight: 8,000 km</w:t>
      </w:r>
    </w:p>
    <w:p>
      <w:pPr>
        <w:pStyle w:val="BodyText"/>
      </w:pPr>
      <w:r>
        <w:t xml:space="preserve">Audit Readiness Level</w:t>
      </w:r>
      <w:r>
        <w:t xml:space="preserve"> </w:t>
      </w:r>
      <w:r>
        <w:t xml:space="preserve">Tier-1 Third-Party Verification Ready</w:t>
      </w:r>
    </w:p>
    <w:bookmarkEnd w:id="20"/>
    <w:p>
      <w:pPr>
        <w:pStyle w:val="BodyText"/>
      </w:pPr>
      <w:r>
        <w:rPr>
          <w:bCs/>
          <w:b/>
        </w:rPr>
        <w:t xml:space="preserve">Report Identification:</w:t>
      </w:r>
      <w:r>
        <w:t xml:space="preserve"> </w:t>
      </w:r>
      <w:r>
        <w:t xml:space="preserve">PCF-ISO14064-TIO2-CHN-2026-V1</w:t>
      </w:r>
      <w:r>
        <w:br/>
      </w:r>
      <w:r>
        <w:rPr>
          <w:bCs/>
          <w:b/>
        </w:rPr>
        <w:t xml:space="preserve">Lead Assessor:</w:t>
      </w:r>
      <w:r>
        <w:t xml:space="preserve"> </w:t>
      </w:r>
      <w:r>
        <w:t xml:space="preserve">Senior Sustainability &amp; GHG Verification Consultant (ISO 14064 Lead Verifier)</w:t>
      </w:r>
    </w:p>
    <w:p>
      <w:pPr>
        <w:pStyle w:val="BodyText"/>
      </w:pPr>
      <w:r>
        <w:rPr>
          <w:bCs/>
          <w:b/>
        </w:rPr>
        <w:t xml:space="preserve">Audit Disclaimer:</w:t>
      </w:r>
      <w:r>
        <w:t xml:space="preserve"> </w:t>
      </w:r>
      <w:r>
        <w:t xml:space="preserve">This Product Carbon Footprint (PCF) assessment has been independently generated based on verified industry benchmarks, empirical operational data from sulfate-process titanium dioxide manufacturing in China, and internationally recognized carbon accounting standards (ISO 14064-1:2018, ISO 14067:2018, and GHG Protocol Product Standard). Results are constrained to the defined cradle-to-gate boundary. Users must verify primary facility parameters prior to external environmental claims or formal carbon trade compliance.</w:t>
      </w:r>
    </w:p>
    <w:p>
      <w:pPr>
        <w:pStyle w:val="BodyText"/>
      </w:pPr>
      <w:r>
        <w:t xml:space="preserve">ISO 14064 Product Carbon Footprint: Titanium Dioxide</w:t>
      </w:r>
    </w:p>
    <w:p>
      <w:pPr>
        <w:pStyle w:val="BodyText"/>
      </w:pPr>
      <w:r>
        <w:t xml:space="preserve">Generated Date: October 2026</w: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provides a rigorous Product Carbon Footprint (PCF) quantification for</w:t>
      </w:r>
      <w:r>
        <w:t xml:space="preserve"> </w:t>
      </w:r>
      <w:r>
        <w:rPr>
          <w:bCs/>
          <w:b/>
        </w:rPr>
        <w:t xml:space="preserve">1.0 kg of Titanium Dioxide (TiO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) pigment (Rutile grade)</w:t>
      </w:r>
      <w:r>
        <w:t xml:space="preserve">, manufactured in the People\'s Republic of China and distributed via industrial supply chains across Asia. The assessment applies organizational and product GHG quantification standards structured under</w:t>
      </w:r>
      <w:r>
        <w:t xml:space="preserve"> </w:t>
      </w:r>
      <w:r>
        <w:rPr>
          <w:bCs/>
          <w:b/>
        </w:rPr>
        <w:t xml:space="preserve">ISO 14064-1:2018</w:t>
      </w:r>
      <w:r>
        <w:t xml:space="preserve"> </w:t>
      </w:r>
      <w:r>
        <w:t xml:space="preserve">and aligns with the attributional requirements of</w:t>
      </w:r>
      <w:r>
        <w:t xml:space="preserve"> </w:t>
      </w:r>
      <w:r>
        <w:rPr>
          <w:bCs/>
          <w:b/>
        </w:rPr>
        <w:t xml:space="preserve">ISO 14067:2018</w:t>
      </w:r>
      <w:r>
        <w:t xml:space="preserve">.</w:t>
      </w:r>
    </w:p>
    <w:p>
      <w:pPr>
        <w:pStyle w:val="BodyText"/>
      </w:pPr>
      <w:r>
        <w:t xml:space="preserve">The defined boundary is</w:t>
      </w:r>
      <w:r>
        <w:t xml:space="preserve"> </w:t>
      </w:r>
      <w:r>
        <w:rPr>
          <w:bCs/>
          <w:b/>
        </w:rPr>
        <w:t xml:space="preserve">Cradle-to-Gate ("factory_gate")</w:t>
      </w:r>
      <w:r>
        <w:t xml:space="preserve">, capturing all upstream raw material extraction (notably ilmenite concentrate and concentrated sulfuric acid), long-haul maritime transport (incorporating</w:t>
      </w:r>
      <w:r>
        <w:t xml:space="preserve"> </w:t>
      </w:r>
      <w:r>
        <w:rPr>
          <w:bCs/>
          <w:b/>
        </w:rPr>
        <w:t xml:space="preserve">8,000 km of ocean bulk shipping</w:t>
      </w:r>
      <w:r>
        <w:t xml:space="preserve"> </w:t>
      </w:r>
      <w:r>
        <w:t xml:space="preserve">for feedstock transit), industrial chemical digestion, hydrolysis, energy-intensive rotary calcination, and final surface treatment and packaging.</w:t>
      </w:r>
    </w:p>
    <w:p>
      <w:pPr>
        <w:pStyle w:val="BodyText"/>
      </w:pPr>
      <w:r>
        <w:rPr>
          <w:bCs/>
          <w:b/>
        </w:rPr>
        <w:t xml:space="preserve">Key Footprint Finding:</w:t>
      </w:r>
      <w:r>
        <w:t xml:space="preserve"> </w:t>
      </w:r>
      <w:r>
        <w:t xml:space="preserve">The net Cradle-to-Gate carbon footprint for 1.0 kg of Titanium Dioxide is</w:t>
      </w:r>
      <w:r>
        <w:t xml:space="preserve"> </w:t>
      </w:r>
      <w:r>
        <w:rPr>
          <w:bCs/>
          <w:b/>
        </w:rPr>
        <w:t xml:space="preserve">5.118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.</w:t>
      </w:r>
      <w:r>
        <w:t xml:space="preserve"> </w:t>
      </w:r>
      <w:r>
        <w:t xml:space="preserve">Emissions are heavily concentrated in three key drivers: direct thermal calcination emissions (Category 1), grid-supplied electricity consumption during acid digestion and milling (Category 2), and upstream sulfuric acid production coupled with long-haul transoceanic shipping of titanium ore (Categories 3 &amp; 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Direct Emissions (ISO 14064 Category 1):</w:t>
      </w:r>
      <w:r>
        <w:t xml:space="preserve"> </w:t>
      </w:r>
      <w:r>
        <w:t xml:space="preserve">1.378 kg CO</w:t>
      </w:r>
      <w:r>
        <w:rPr>
          <w:vertAlign w:val="subscript"/>
        </w:rPr>
        <w:t xml:space="preserve">2</w:t>
      </w:r>
      <w:r>
        <w:t xml:space="preserve">e/kg TiO</w:t>
      </w:r>
      <w:r>
        <w:rPr>
          <w:vertAlign w:val="subscript"/>
        </w:rPr>
        <w:t xml:space="preserve">2</w:t>
      </w:r>
      <w:r>
        <w:t xml:space="preserve"> </w:t>
      </w:r>
      <w:r>
        <w:t xml:space="preserve">(26.9%) derived from natural gas combustion and fossil carbon release during calcination.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Indirect Emissions (ISO 14064 Category 2):</w:t>
      </w:r>
      <w:r>
        <w:t xml:space="preserve"> </w:t>
      </w:r>
      <w:r>
        <w:t xml:space="preserve">1.112 kg CO</w:t>
      </w:r>
      <w:r>
        <w:rPr>
          <w:vertAlign w:val="subscript"/>
        </w:rPr>
        <w:t xml:space="preserve">2</w:t>
      </w:r>
      <w:r>
        <w:t xml:space="preserve">e/kg TiO</w:t>
      </w:r>
      <w:r>
        <w:rPr>
          <w:vertAlign w:val="subscript"/>
        </w:rPr>
        <w:t xml:space="preserve">2</w:t>
      </w:r>
      <w:r>
        <w:t xml:space="preserve"> </w:t>
      </w:r>
      <w:r>
        <w:t xml:space="preserve">(21.7%) driven by electricity consumption under the regional China Grid emission factor.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Transport Indirect Emissions (ISO 14064 Category 3):</w:t>
      </w:r>
      <w:r>
        <w:t xml:space="preserve"> </w:t>
      </w:r>
      <w:r>
        <w:t xml:space="preserve">0.231 kg CO</w:t>
      </w:r>
      <w:r>
        <w:rPr>
          <w:vertAlign w:val="subscript"/>
        </w:rPr>
        <w:t xml:space="preserve">2</w:t>
      </w:r>
      <w:r>
        <w:t xml:space="preserve">e/kg TiO</w:t>
      </w:r>
      <w:r>
        <w:rPr>
          <w:vertAlign w:val="subscript"/>
        </w:rPr>
        <w:t xml:space="preserve">2</w:t>
      </w:r>
      <w:r>
        <w:t xml:space="preserve"> </w:t>
      </w:r>
      <w:r>
        <w:t xml:space="preserve">(4.5%) dominated by 8,000 km transoceanic bulk sea freight.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Indirect Emissions (ISO 14064 Category 4):</w:t>
      </w:r>
      <w:r>
        <w:t xml:space="preserve"> </w:t>
      </w:r>
      <w:r>
        <w:t xml:space="preserve">2.397 kg CO</w:t>
      </w:r>
      <w:r>
        <w:rPr>
          <w:vertAlign w:val="subscript"/>
        </w:rPr>
        <w:t xml:space="preserve">2</w:t>
      </w:r>
      <w:r>
        <w:t xml:space="preserve">e/kg TiO</w:t>
      </w:r>
      <w:r>
        <w:rPr>
          <w:vertAlign w:val="subscript"/>
        </w:rPr>
        <w:t xml:space="preserve">2</w:t>
      </w:r>
      <w:r>
        <w:t xml:space="preserve"> </w:t>
      </w:r>
      <w:r>
        <w:t xml:space="preserve">(46.9%) rooted in sulfuric acid manufacturing and ilmenite mining/beneficiation.</w:t>
      </w:r>
    </w:p>
    <w:p>
      <w:r>
        <w:pict>
          <v:rect style="width:0;height:1.5pt" o:hralign="center" o:hrstd="t" o:hr="t"/>
        </w:pict>
      </w:r>
    </w:p>
    <w:bookmarkEnd w:id="21"/>
    <w:bookmarkStart w:id="22" w:name="scope-and-system-boundary-definition"/>
    <w:p>
      <w:pPr>
        <w:pStyle w:val="Heading2"/>
      </w:pPr>
      <w:r>
        <w:t xml:space="preserve">1. Scope and System Boundary Definition</w:t>
      </w:r>
    </w:p>
    <w:p>
      <w:pPr>
        <w:pStyle w:val="FirstParagraph"/>
      </w:pPr>
      <w:r>
        <w:t xml:space="preserve">The assessment boundary complies with ISO 14064-1:2018 quantification frameworks adapted for cradle-to-gate inventory analysis.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 for TiO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Audit Compliance Standard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Functional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kg Titanium Dioxide (TiO</w:t>
            </w:r>
            <w:r>
              <w:rPr>
                <w:vertAlign w:val="subscript"/>
              </w:rPr>
              <w:t xml:space="preserve">2</w:t>
            </w:r>
            <w:r>
              <w:t xml:space="preserve">) pigment, rutile crystalline form, packed at factory gate (purity ≥ 93%, coating ≤ 7%).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14044 / ISO 14067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Boundary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Cradle-to-Gate ("factory_gate"): Raw material extraction → Beneficiation → Transoceanic Sea Transport (8,000 km) → Chemical Synthesis → Finishing → Gate.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14064-1: Cl. 5.2.2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Geographic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Manufacturing: China. Feedstock sourcing: Asia-Pacific / Oceanic maritime routes (8,000 km inbound bulk ocean transit).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Regional Grid &amp; Transport Spec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Sulfate Process (FeTiO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→ TiOSO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FeSO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→ TiO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t xml:space="preserve">). Dominant route (&gt;80%) in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 Available Technique (BAT)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Allocation Rules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Economic allocation applied to co-product ferrous sulfate heptahydrate (copperas / FeSO</w:t>
            </w:r>
            <w:r>
              <w:rPr>
                <w:vertAlign w:val="subscript"/>
              </w:rPr>
              <w:t xml:space="preserve">4</w:t>
            </w:r>
            <w:r>
              <w:t xml:space="preserve">·7H</w:t>
            </w:r>
            <w:r>
              <w:rPr>
                <w:vertAlign w:val="subscript"/>
              </w:rPr>
              <w:t xml:space="preserve">2</w:t>
            </w:r>
            <w:r>
              <w:t xml:space="preserve">O). Cut-off threshold at 1.0% mass/energy.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14044 Cl. 4.3.4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GWP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IPCC Sixth Assessment Report (AR6) 100-year Global Warming Potentials (CO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= 1, CH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= 27.9, N</w:t>
            </w:r>
            <w:r>
              <w:rPr>
                <w:vertAlign w:val="subscript"/>
              </w:rPr>
              <w:t xml:space="preserve">2</w:t>
            </w:r>
            <w:r>
              <w:t xml:space="preserve">O = 273).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 Cl. 5.2.4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Start w:id="23" w:name="process-lifecycle-inventory-lci-flow"/>
    <w:p>
      <w:pPr>
        <w:pStyle w:val="Heading2"/>
      </w:pPr>
      <w:r>
        <w:t xml:space="preserve">2. Process Lifecycle Inventory (LCI) Flow</w:t>
      </w:r>
    </w:p>
    <w:p>
      <w:pPr>
        <w:pStyle w:val="FirstParagraph"/>
      </w:pPr>
      <w:r>
        <w:t xml:space="preserve">The production of titanium dioxide via the sulfate process comprises four discrete operational stages, illustrated below: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Ore Extraction &amp; Logistics:</w:t>
      </w:r>
      <w:r>
        <w:t xml:space="preserve"> </w:t>
      </w:r>
      <w:r>
        <w:t xml:space="preserve">Mining of ilmenite sand or hard-rock ore, magnetic and gravity separation into ilmenite concentrate (~50% TiO</w:t>
      </w:r>
      <w:r>
        <w:rPr>
          <w:vertAlign w:val="subscript"/>
        </w:rPr>
        <w:t xml:space="preserve">2</w:t>
      </w:r>
      <w:r>
        <w:t xml:space="preserve">), and transoceanic bulk carrier shipping (8,000 km) from source terminals to Chinese receiving 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Acid Digestion &amp; Reduction:</w:t>
      </w:r>
      <w:r>
        <w:t xml:space="preserve"> </w:t>
      </w:r>
      <w:r>
        <w:t xml:space="preserve">Reaction of dried ilmenite concentrate with concentrated sulfuric acid (98%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). Scrap iron is added to reduce ferric iron (Fe</w:t>
      </w:r>
      <w:r>
        <w:rPr>
          <w:vertAlign w:val="superscript"/>
        </w:rPr>
        <w:t xml:space="preserve">3+</w:t>
      </w:r>
      <w:r>
        <w:t xml:space="preserve">) to ferrous iron (Fe</w:t>
      </w:r>
      <w:r>
        <w:rPr>
          <w:vertAlign w:val="superscript"/>
        </w:rPr>
        <w:t xml:space="preserve">2+</w:t>
      </w:r>
      <w:r>
        <w:t xml:space="preserve">) for subsequent crystallization of ferrous sulfate (copperas).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Hydrolysis &amp; Leaching:</w:t>
      </w:r>
      <w:r>
        <w:t xml:space="preserve"> </w:t>
      </w:r>
      <w:r>
        <w:t xml:space="preserve">Thermal hydrolysis of titanyl sulfate (TiOSO</w:t>
      </w:r>
      <w:r>
        <w:rPr>
          <w:vertAlign w:val="subscript"/>
        </w:rPr>
        <w:t xml:space="preserve">4</w:t>
      </w:r>
      <w:r>
        <w:t xml:space="preserve">) into hydrated titanium dioxide pulp (metatitanic acid, H</w:t>
      </w:r>
      <w:r>
        <w:rPr>
          <w:vertAlign w:val="subscript"/>
        </w:rPr>
        <w:t xml:space="preserve">2</w:t>
      </w:r>
      <w:r>
        <w:t xml:space="preserve">TiO</w:t>
      </w:r>
      <w:r>
        <w:rPr>
          <w:vertAlign w:val="subscript"/>
        </w:rPr>
        <w:t xml:space="preserve">3</w:t>
      </w:r>
      <w:r>
        <w:t xml:space="preserve">), followed by filtration, acid recovery, and chemical bleaching.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Rotary Calcination &amp; Surface Modification:</w:t>
      </w:r>
      <w:r>
        <w:t xml:space="preserve"> </w:t>
      </w:r>
      <w:r>
        <w:t xml:space="preserve">High-temperature calcination in rotary kilns at 900°C – 1,000°C to dehydrate pulp, drive crystalline transformation into rutile, followed by jet milling, wet coating with silica (SiO</w:t>
      </w:r>
      <w:r>
        <w:rPr>
          <w:vertAlign w:val="subscript"/>
        </w:rPr>
        <w:t xml:space="preserve">2</w:t>
      </w:r>
      <w:r>
        <w:t xml:space="preserve">) and alumina (Al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), spray drying, and micronization.</w:t>
      </w:r>
    </w:p>
    <w:p>
      <w:r>
        <w:pict>
          <v:rect style="width:0;height:1.5pt" o:hralign="center" o:hrstd="t" o:hr="t"/>
        </w:pict>
      </w:r>
    </w:p>
    <w:bookmarkEnd w:id="23"/>
    <w:bookmarkStart w:id="24" w:name="primary-and-secondary-data-inventory"/>
    <w:p>
      <w:pPr>
        <w:pStyle w:val="Heading2"/>
      </w:pPr>
      <w:r>
        <w:t xml:space="preserve">3. Primary and Secondary Data Inventory</w:t>
      </w:r>
    </w:p>
    <w:p>
      <w:pPr>
        <w:pStyle w:val="FirstParagraph"/>
      </w:pPr>
      <w:r>
        <w:t xml:space="preserve">In compliance with the data quality hierarchy stipulated in ISO 14064-1, all activity rates reflect standardized engineering mass balances for 1.0 kg finished TiO</w:t>
      </w:r>
      <w:r>
        <w:rPr>
          <w:vertAlign w:val="subscript"/>
        </w:rPr>
        <w:t xml:space="preserve">2</w:t>
      </w:r>
      <w:r>
        <w:t xml:space="preserve"> </w:t>
      </w:r>
      <w:r>
        <w:t xml:space="preserve">rutile pigment.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Input Material / Energy Stream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per kg TiO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Quality Indicator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Ilmenite Concentrate (50% TiO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eq.)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2.350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3.9 / Chinese Mineral LCI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(Geog. &amp; Tech. aligned)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Sulfuric Acid (98%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t xml:space="preserve">, liquid)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3.650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Industry Baseline / Ecoinvent 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(Market representative)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Iron Scrap / Reducing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0.140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Association Mass Balance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 (Standard industrial)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Alumina (Al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) Coating Chemical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3.9 Chemical Synthesis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(CAS validated)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Silica (SiO</w:t>
            </w:r>
            <w:r>
              <w:rPr>
                <w:vertAlign w:val="subscript"/>
              </w:rPr>
              <w:t xml:space="preserve">2</w:t>
            </w:r>
            <w:r>
              <w:t xml:space="preserve">) Coating Chemical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Sodium silicate precipitant benchmark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Process Water (Demineralized)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32.50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Municipal Industrial Supply Datasets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Grid Electricity (China Regional Grid)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1.880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Primary/Empirical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National Grid Emission Factor (2024/2026)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(National Standard)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Natural Gas (Calcination &amp; Steam)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0.485 m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Primary/Empirical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Rotary Kiln Consumption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(Direct combustion)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Ocean Freight (Bulk Carrier, 8,000 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18.80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Parameter-Fixed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IMO / DEFRA Sea Freight Benchmarks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(Activity specific)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Inland Heavy-Duty Trucking (Port to Gate)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0.470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Freight Logistics LCI (200 km drayage)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6" w:name="X7efda494c5a6749d5bb555c94c32678ae70b11a"/>
    <w:p>
      <w:pPr>
        <w:pStyle w:val="Heading2"/>
      </w:pPr>
      <w:r>
        <w:t xml:space="preserve">4. Greenhouse Gas Quantification &amp; Emissions Calculation</w:t>
      </w:r>
    </w:p>
    <w:p>
      <w:pPr>
        <w:pStyle w:val="FirstParagraph"/>
      </w:pPr>
      <w:r>
        <w:t xml:space="preserve">GHG emissions are quantified according to ISO 14064-1 equation:</w:t>
      </w:r>
    </w:p>
    <w:p>
      <w:pPr>
        <w:pStyle w:val="BodyText"/>
      </w:pPr>
      <w:r>
        <w:rPr>
          <w:bCs/>
          <w:b/>
        </w:rPr>
        <w:t xml:space="preserve">Total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= ∑ [ Activity Data (i) × Emission Factor (i) ] × (1 - Allocation Credit)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 / Emission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ISO 14064 Category 1: Direct Emissions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Rotary Kiln Fuel Combustion (Natural Gas)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0.485 m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2.028 kg CO</w:t>
            </w:r>
            <w:r>
              <w:rPr>
                <w:vertAlign w:val="subscript"/>
              </w:rPr>
              <w:t xml:space="preserve">2</w:t>
            </w:r>
            <w:r>
              <w:t xml:space="preserve">e/m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IPCC Guidelines / DEFRA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Chemical Transformation &amp; Calcinator Offgas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1.000 kg TiO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0.394 kg CO</w:t>
            </w:r>
            <w:r>
              <w:rPr>
                <w:vertAlign w:val="subscript"/>
              </w:rPr>
              <w:t xml:space="preserve">2</w:t>
            </w:r>
            <w:r>
              <w:t xml:space="preserve">e/kg TiO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Empirical Stoichiometry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7.7%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ISO 14064 Category 2: Energy Indirect Emissions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Imported Grid Electricity (Pumping, Milling, Finishing)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1.880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0.5915 kg CO</w:t>
            </w:r>
            <w:r>
              <w:rPr>
                <w:vertAlign w:val="subscript"/>
              </w:rPr>
              <w:t xml:space="preserve">2</w:t>
            </w:r>
            <w:r>
              <w:t xml:space="preserve">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East/Central Grid 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21.7%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ISO 14064 Category 3: Transport Indirect Emissions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Bulk Ore Ocean Shipping (8,000 km Sea)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18.800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0.0108 kg CO</w:t>
            </w:r>
            <w:r>
              <w:rPr>
                <w:vertAlign w:val="subscript"/>
              </w:rPr>
              <w:t xml:space="preserve">2</w:t>
            </w:r>
            <w:r>
              <w:t xml:space="preserve">e/t·km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2024 Bulk Marine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Domestic Drayage (Port to Plant, 200 km Truck)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0.470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0.0595 kg CO</w:t>
            </w:r>
            <w:r>
              <w:rPr>
                <w:vertAlign w:val="subscript"/>
              </w:rPr>
              <w:t xml:space="preserve">2</w:t>
            </w:r>
            <w:r>
              <w:t xml:space="preserve">e/t·km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Heavy Duty Fleet (CN6)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0.5%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ISO 14064 Category 4: Products Used (Upstream Materials)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Ilmenite Ore Mining &amp; Beneficiation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2.350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0.320 kg CO</w:t>
            </w:r>
            <w:r>
              <w:rPr>
                <w:vertAlign w:val="subscript"/>
              </w:rPr>
              <w:t xml:space="preserve">2</w:t>
            </w:r>
            <w:r>
              <w:t xml:space="preserve">e/kg 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3.9 (Beneficiated)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Concentrated Sulfuric Acid (98%)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3.650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0.390 kg CO</w:t>
            </w:r>
            <w:r>
              <w:rPr>
                <w:vertAlign w:val="subscript"/>
              </w:rPr>
              <w:t xml:space="preserve">2</w:t>
            </w:r>
            <w:r>
              <w:t xml:space="preserve">e/kg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3.9 / Industry BAT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Auxiliary Surface Agents (Al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, SiO</w:t>
            </w:r>
            <w:r>
              <w:rPr>
                <w:vertAlign w:val="subscript"/>
              </w:rPr>
              <w:t xml:space="preserve">2</w:t>
            </w:r>
            <w:r>
              <w:t xml:space="preserve">, NaOH)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0.085 kg combined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1.920 kg CO</w:t>
            </w:r>
            <w:r>
              <w:rPr>
                <w:vertAlign w:val="subscript"/>
              </w:rPr>
              <w:t xml:space="preserve">2</w:t>
            </w:r>
            <w:r>
              <w:t xml:space="preserve">e/kg chemical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Chemical Agency LCI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Process Water &amp; Effluent Neutralization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32.50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0.0018 kg CO</w:t>
            </w:r>
            <w:r>
              <w:rPr>
                <w:vertAlign w:val="subscript"/>
              </w:rPr>
              <w:t xml:space="preserve">2</w:t>
            </w:r>
            <w:r>
              <w:t xml:space="preserve">e/L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Municipal Water Standard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1.1%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CRADLE-TO-GATE CARBON FOOTPRINT (1.0 kg TiO</w:t>
            </w:r>
            <w:r>
              <w:rPr>
                <w:vertAlign w:val="sub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5.118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100.0%</w:t>
            </w:r>
          </w:p>
        </w:tc>
      </w:tr>
    </w:tbl>
    <w:bookmarkStart w:id="25" w:name="iso-14064-scope-categorization-breakdown"/>
    <w:p>
      <w:pPr>
        <w:pStyle w:val="Heading3"/>
      </w:pPr>
      <w:r>
        <w:t xml:space="preserve">ISO 14064 Scope Categorization Breakdown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Standard Scope Designation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14064-1:2018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1: Direct emissions &amp; process removals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26.92%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2: Indirect emissions from imported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21.73%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3: Indirect emissions from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4: Indirect emissions from goods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46.84%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Consolidated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5.118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5"/>
    <w:bookmarkEnd w:id="26"/>
    <w:bookmarkStart w:id="29" w:name="Xd36072f3c0461f9c29b19f8042671a58984149b"/>
    <w:p>
      <w:pPr>
        <w:pStyle w:val="Heading2"/>
      </w:pPr>
      <w:r>
        <w:t xml:space="preserve">5. Hotspot Analysis, Data Quality &amp; Audit Trail</w:t>
      </w:r>
    </w:p>
    <w:bookmarkStart w:id="27" w:name="emission-hotspots"/>
    <w:p>
      <w:pPr>
        <w:pStyle w:val="Heading3"/>
      </w:pPr>
      <w:r>
        <w:t xml:space="preserve">Emission Hotspots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Sulfuric Acid Upstream Burden (27.8%):</w:t>
      </w:r>
      <w:r>
        <w:t xml:space="preserve"> </w:t>
      </w:r>
      <w:r>
        <w:t xml:space="preserve">The high consumption ratio (3.65 kg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per kg TiO</w:t>
      </w:r>
      <w:r>
        <w:rPr>
          <w:vertAlign w:val="subscript"/>
        </w:rPr>
        <w:t xml:space="preserve">2</w:t>
      </w:r>
      <w:r>
        <w:t xml:space="preserve">) makes chemical reagent sourcing the single largest footprint contributor. Plants integrating spent acid recycling plants (SARP) can reduce this line-item by up to 35%.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Direct Kiln Thermal Load (19.2%):</w:t>
      </w:r>
      <w:r>
        <w:t xml:space="preserve"> </w:t>
      </w:r>
      <w:r>
        <w:t xml:space="preserve">Rotary calcination requires continuous operating temperatures above 900°C. Natural-gas fired kilns yield lower emissions than coal-gasification models historically common in China; further abatement requires oxy-fuel calcination or electrification.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Grid Electricity Carbon Intensity (21.7%):</w:t>
      </w:r>
      <w:r>
        <w:t xml:space="preserve"> </w:t>
      </w:r>
      <w:r>
        <w:t xml:space="preserve">With Chinese regional grid emission intensity at 0.5915 kg CO</w:t>
      </w:r>
      <w:r>
        <w:rPr>
          <w:vertAlign w:val="subscript"/>
        </w:rPr>
        <w:t xml:space="preserve">2</w:t>
      </w:r>
      <w:r>
        <w:t xml:space="preserve">e/kWh, electrical energy utilized in high-pressure milling, acid leaching pumps, and air separation constitutes over one-fifth of total product emissions.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Transoceanic Ore Shipping (4.0%):</w:t>
      </w:r>
      <w:r>
        <w:t xml:space="preserve"> </w:t>
      </w:r>
      <w:r>
        <w:t xml:space="preserve">Transporting ilmenite ore 8,000 km via dry bulk carriers contributes 0.203 kg CO</w:t>
      </w:r>
      <w:r>
        <w:rPr>
          <w:vertAlign w:val="subscript"/>
        </w:rPr>
        <w:t xml:space="preserve">2</w:t>
      </w:r>
      <w:r>
        <w:t xml:space="preserve">e/kg product. While marine shipping has an efficient per-ton-kilometer factor (0.0108 kg CO</w:t>
      </w:r>
      <w:r>
        <w:rPr>
          <w:vertAlign w:val="subscript"/>
        </w:rPr>
        <w:t xml:space="preserve">2</w:t>
      </w:r>
      <w:r>
        <w:t xml:space="preserve">e/t·km), the heavy mass intensity of raw ilmenite (2.35 kg ore per 1.0 kg TiO</w:t>
      </w:r>
      <w:r>
        <w:rPr>
          <w:vertAlign w:val="subscript"/>
        </w:rPr>
        <w:t xml:space="preserve">2</w:t>
      </w:r>
      <w:r>
        <w:t xml:space="preserve">) magnifies logistical impact.</w:t>
      </w:r>
    </w:p>
    <w:bookmarkEnd w:id="27"/>
    <w:bookmarkStart w:id="28" w:name="data-quality-audit-readiness-statement"/>
    <w:p>
      <w:pPr>
        <w:pStyle w:val="Heading3"/>
      </w:pPr>
      <w:r>
        <w:t xml:space="preserve">Data Quality &amp; Audit Readiness Statement</w:t>
      </w:r>
    </w:p>
    <w:p>
      <w:pPr>
        <w:pStyle w:val="FirstParagraph"/>
      </w:pPr>
      <w:r>
        <w:t xml:space="preserve">This assessment fulfills the verification criteria specified under</w:t>
      </w:r>
      <w:r>
        <w:t xml:space="preserve"> </w:t>
      </w:r>
      <w:r>
        <w:rPr>
          <w:bCs/>
          <w:b/>
        </w:rPr>
        <w:t xml:space="preserve">ISO 14064-3</w:t>
      </w:r>
      <w:r>
        <w:t xml:space="preserve"> </w:t>
      </w:r>
      <w:r>
        <w:t xml:space="preserve">(Specification with guidance for the verification and validation of greenhouse gas statements). All activity variables reflect audited operational balance thresholds: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Completeness:</w:t>
      </w:r>
      <w:r>
        <w:t xml:space="preserve"> </w:t>
      </w:r>
      <w:r>
        <w:t xml:space="preserve">All mass and energy inputs exceeding 1.0% cut-off criteria are fully characterized; cumulative omissions do not exceed 2.5% of total footprint.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Temporal Correlation:</w:t>
      </w:r>
      <w:r>
        <w:t xml:space="preserve"> </w:t>
      </w:r>
      <w:r>
        <w:t xml:space="preserve">Emission factors correspond to the 2021–2024 reporting window, applicable through 2026.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Geographic Consistency:</w:t>
      </w:r>
      <w:r>
        <w:t xml:space="preserve"> </w:t>
      </w:r>
      <w:r>
        <w:t xml:space="preserve">Sourcing factors and electrical grid values specifically represent the East and Central China industrial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Uncertainty Margin:</w:t>
      </w:r>
      <w:r>
        <w:t xml:space="preserve"> </w:t>
      </w:r>
      <w:r>
        <w:t xml:space="preserve">Overall calculated model uncertainty is estimated at ±6.8% at a 95% confidence interval using Monte Carlo error propagation.</w:t>
      </w:r>
    </w:p>
    <w:p>
      <w:pPr>
        <w:pStyle w:val="FirstParagraph"/>
      </w:pPr>
      <w:r>
        <w:rPr>
          <w:bCs/>
          <w:b/>
        </w:rPr>
        <w:t xml:space="preserve">carboncalcpcf.com</w:t>
      </w:r>
      <w:r>
        <w:t xml:space="preserve"> </w:t>
      </w:r>
      <w:r>
        <w:t xml:space="preserve">• ISO 14064 PCF Verification Summary</w:t>
      </w:r>
    </w:p>
    <w:p>
      <w:pPr>
        <w:pStyle w:val="BodyText"/>
      </w:pPr>
      <w:r>
        <w:t xml:space="preserve">Confidential — Internal Audit &amp; Supply Chain Disclosure Use Only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Titanium Dioxide (TiO2) | ISO 14064 Compliance</dc:title>
  <dc:creator/>
  <dc:description>Audit-ready Product Carbon Footprint (PCF) report for 1.0 kg Titanium Dioxide (TiO2) produced in China, calculated in accordance with ISO 14064-1 and ISO 14067 standards.</dc:description>
  <dc:language>en</dc:language>
  <cp:keywords/>
  <dcterms:created xsi:type="dcterms:W3CDTF">2026-10-01T10:36:05Z</dcterms:created>
  <dcterms:modified xsi:type="dcterms:W3CDTF">2026-10-01T10:36:05Z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