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Titanium</w:t>
      </w:r>
      <w:r>
        <w:t xml:space="preserve"> </w:t>
      </w:r>
      <w:r>
        <w:t xml:space="preserve">Dioxide</w:t>
      </w:r>
      <w:r>
        <w:t xml:space="preserve"> </w:t>
      </w:r>
      <w:r>
        <w:t xml:space="preserve">(TiO2)</w:t>
      </w:r>
      <w:r>
        <w:t xml:space="preserve"> </w:t>
      </w:r>
      <w:r>
        <w:t xml:space="preserve">-</w:t>
      </w:r>
      <w:r>
        <w:t xml:space="preserve"> </w:t>
      </w:r>
      <w:r>
        <w:t xml:space="preserve">businessanalytiq.com</w:t>
      </w:r>
    </w:p>
    <w:p>
      <w:pPr>
        <w:pStyle w:val="FirstParagraph"/>
      </w:pPr>
      <w:r>
        <w:t xml:space="preserve">businessanalytiq.com</w:t>
      </w:r>
    </w:p>
    <w:p>
      <w:pPr>
        <w:pStyle w:val="BodyText"/>
      </w:pPr>
      <w:r>
        <w:t xml:space="preserve">GHG Protocol PCF Assessment</w:t>
      </w:r>
    </w:p>
    <w:bookmarkStart w:id="20" w:name="product-carbon-footprint-pcf-report"/>
    <w:p>
      <w:pPr>
        <w:pStyle w:val="Heading1"/>
      </w:pPr>
      <w:r>
        <w:t xml:space="preserve">Product Carbon Footprint (PCF) Report</w:t>
      </w:r>
    </w:p>
    <w:p>
      <w:pPr>
        <w:pStyle w:val="FirstParagraph"/>
      </w:pPr>
      <w:r>
        <w:t xml:space="preserve">Technical Life Cycle Assessment for Titanium Dioxide (TiO</w:t>
      </w:r>
      <w:r>
        <w:rPr>
          <w:vertAlign w:val="subscript"/>
        </w:rPr>
        <w:t xml:space="preserve">2</w:t>
      </w:r>
      <w:r>
        <w:t xml:space="preserve">) Pigment</w:t>
      </w:r>
    </w:p>
    <w:bookmarkEnd w:id="20"/>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Product / Target Material</w:t>
            </w:r>
          </w:p>
        </w:tc>
        <w:tc>
          <w:tcPr/>
          <w:p>
            <w:pPr>
              <w:pStyle w:val="Compact"/>
              <w:jc w:val="left"/>
            </w:pPr>
            <w:r>
              <w:t xml:space="preserve">Titanium Dioxide (TiO</w:t>
            </w:r>
            <w:r>
              <w:rPr>
                <w:vertAlign w:val="subscript"/>
              </w:rPr>
              <w:t xml:space="preserve">2</w:t>
            </w:r>
            <w:r>
              <w:t xml:space="preserve">, Sulfate/Chloride Pigment Grade)</w:t>
            </w:r>
          </w:p>
        </w:tc>
      </w:tr>
      <w:tr>
        <w:tc>
          <w:tcPr/>
          <w:p>
            <w:pPr>
              <w:pStyle w:val="Compact"/>
              <w:jc w:val="left"/>
            </w:pPr>
            <w:r>
              <w:t xml:space="preserve">Functional Unit</w:t>
            </w:r>
          </w:p>
        </w:tc>
        <w:tc>
          <w:tcPr/>
          <w:p>
            <w:pPr>
              <w:pStyle w:val="Compact"/>
              <w:jc w:val="left"/>
            </w:pPr>
            <w:r>
              <w:t xml:space="preserve">1.0 metric ton (1,000 kg) packaged bulk dry pigment</w:t>
            </w:r>
          </w:p>
        </w:tc>
      </w:tr>
      <w:tr>
        <w:tc>
          <w:tcPr/>
          <w:p>
            <w:pPr>
              <w:pStyle w:val="Compact"/>
              <w:jc w:val="left"/>
            </w:pPr>
            <w:r>
              <w:t xml:space="preserve">System Boundary</w:t>
            </w:r>
          </w:p>
        </w:tc>
        <w:tc>
          <w:tcPr/>
          <w:p>
            <w:pPr>
              <w:pStyle w:val="Compact"/>
              <w:jc w:val="left"/>
            </w:pPr>
            <w:r>
              <w:t xml:space="preserve">Factory Gate (Cradle-to-Gate)</w:t>
            </w:r>
          </w:p>
        </w:tc>
      </w:tr>
      <w:tr>
        <w:tc>
          <w:tcPr/>
          <w:p>
            <w:pPr>
              <w:pStyle w:val="Compact"/>
              <w:jc w:val="left"/>
            </w:pPr>
            <w:r>
              <w:t xml:space="preserve">Geographic Scope</w:t>
            </w:r>
          </w:p>
        </w:tc>
        <w:tc>
          <w:tcPr/>
          <w:p>
            <w:pPr>
              <w:pStyle w:val="Compact"/>
              <w:jc w:val="left"/>
            </w:pPr>
            <w:r>
              <w:t xml:space="preserve">Final Production: China | Supply Chain: Asia &amp; Global Transoceanic</w:t>
            </w:r>
          </w:p>
        </w:tc>
      </w:tr>
      <w:tr>
        <w:tc>
          <w:tcPr/>
          <w:p>
            <w:pPr>
              <w:pStyle w:val="Compact"/>
              <w:jc w:val="left"/>
            </w:pPr>
            <w:r>
              <w:t xml:space="preserve">Transoceanic Logistics</w:t>
            </w:r>
          </w:p>
        </w:tc>
        <w:tc>
          <w:tcPr/>
          <w:p>
            <w:pPr>
              <w:pStyle w:val="Compact"/>
              <w:jc w:val="left"/>
            </w:pPr>
            <w:r>
              <w:t xml:space="preserve">Mode: Sea | Distance: 10,000 km (Bulk Maritime Freight)</w:t>
            </w:r>
          </w:p>
        </w:tc>
      </w:tr>
      <w:tr>
        <w:tc>
          <w:tcPr/>
          <w:p>
            <w:pPr>
              <w:pStyle w:val="Compact"/>
              <w:jc w:val="left"/>
            </w:pPr>
            <w:r>
              <w:t xml:space="preserve">Primary Accounting Standard</w:t>
            </w:r>
          </w:p>
        </w:tc>
        <w:tc>
          <w:tcPr/>
          <w:p>
            <w:pPr>
              <w:pStyle w:val="Compact"/>
              <w:jc w:val="left"/>
            </w:pPr>
            <w:r>
              <w:t xml:space="preserve">GHG Protocol Product Life Cycle Accounting and Reporting Standard</w:t>
            </w:r>
          </w:p>
        </w:tc>
      </w:tr>
      <w:tr>
        <w:tc>
          <w:tcPr/>
          <w:p>
            <w:pPr>
              <w:pStyle w:val="Compact"/>
              <w:jc w:val="left"/>
            </w:pPr>
            <w:r>
              <w:t xml:space="preserve">Complementary Frameworks</w:t>
            </w:r>
          </w:p>
        </w:tc>
        <w:tc>
          <w:tcPr/>
          <w:p>
            <w:pPr>
              <w:pStyle w:val="Compact"/>
              <w:jc w:val="left"/>
            </w:pPr>
            <w:r>
              <w:t xml:space="preserve">GHG Protocol Scope 3 Standard; 2026 Land Sector and Removals (LSR) Standard; ISO 14067:2018</w:t>
            </w:r>
          </w:p>
        </w:tc>
      </w:tr>
      <w:tr>
        <w:tc>
          <w:tcPr/>
          <w:p>
            <w:pPr>
              <w:pStyle w:val="Compact"/>
              <w:jc w:val="left"/>
            </w:pPr>
            <w:r>
              <w:t xml:space="preserve">Assessment Date</w:t>
            </w:r>
          </w:p>
        </w:tc>
        <w:tc>
          <w:tcPr/>
          <w:p>
            <w:pPr>
              <w:pStyle w:val="Compact"/>
              <w:jc w:val="left"/>
            </w:pPr>
            <w:r>
              <w:t xml:space="preserve">October 2026</w:t>
            </w:r>
          </w:p>
        </w:tc>
      </w:tr>
      <w:tr>
        <w:tc>
          <w:tcPr/>
          <w:p>
            <w:pPr>
              <w:pStyle w:val="Compact"/>
              <w:jc w:val="left"/>
            </w:pPr>
            <w:r>
              <w:t xml:space="preserve">Lead Auditor / Consultant</w:t>
            </w:r>
          </w:p>
        </w:tc>
        <w:tc>
          <w:tcPr/>
          <w:p>
            <w:pPr>
              <w:pStyle w:val="Compact"/>
              <w:jc w:val="left"/>
            </w:pPr>
            <w:r>
              <w:t xml:space="preserve">Senior Sustainability Consultant (GHG Protocol Specialist)</w:t>
            </w:r>
          </w:p>
        </w:tc>
      </w:tr>
    </w:tbl>
    <w:p>
      <w:pPr>
        <w:pStyle w:val="BodyText"/>
      </w:pPr>
      <w:r>
        <w:rPr>
          <w:bCs/>
          <w:b/>
        </w:rPr>
        <w:t xml:space="preserve">Legal &amp; Methodological Disclaimer:</w:t>
      </w:r>
      <w:r>
        <w:t xml:space="preserve"> </w:t>
      </w:r>
      <w:r>
        <w:t xml:space="preserve">This document was prepared by businessanalytiq.com in strict accordance with the GHG Protocol Product Life Cycle Accounting and Reporting Standard and prevailing 2026 corporate reporting guidelines. This report is generated based on verified industry inventories, certified secondary environmental databases (Ecoinvent v3.10, DEFRA 2025/2026, IEA), and empirical process operational records for Chinese chemical synthesis facilities. All estimations, emission allocations, and characterizations reflect best available professional standards at the time of publication.</w:t>
      </w:r>
    </w:p>
    <w:bookmarkStart w:id="21" w:name="executive-summary"/>
    <w:p>
      <w:pPr>
        <w:pStyle w:val="Heading1"/>
      </w:pPr>
      <w:r>
        <w:t xml:space="preserve">Executive Summary</w:t>
      </w:r>
    </w:p>
    <w:p>
      <w:pPr>
        <w:pStyle w:val="FirstParagraph"/>
      </w:pPr>
      <w:r>
        <w:t xml:space="preserve">This Product Carbon Footprint (PCF) study quantifies the cradle-to-gate greenhouse gas (GHG) emissions associated with the production of</w:t>
      </w:r>
      <w:r>
        <w:t xml:space="preserve"> </w:t>
      </w:r>
      <w:r>
        <w:rPr>
          <w:bCs/>
          <w:b/>
        </w:rPr>
        <w:t xml:space="preserve">1.0 metric ton of refined Titanium Dioxide (TiO</w:t>
      </w:r>
      <w:r>
        <w:rPr>
          <w:vertAlign w:val="subscript"/>
          <w:bCs/>
          <w:b/>
        </w:rPr>
        <w:t xml:space="preserve">2</w:t>
      </w:r>
      <w:r>
        <w:rPr>
          <w:bCs/>
          <w:b/>
        </w:rPr>
        <w:t xml:space="preserve">)</w:t>
      </w:r>
      <w:r>
        <w:t xml:space="preserve"> </w:t>
      </w:r>
      <w:r>
        <w:t xml:space="preserve">manufactured within the People\'s Republic of China and distributed to the factory gate. Titanium dioxide is an energy- and chemically intensive inorganic white pigment utilized ubiquitously in coatings, plastics, paper, and advanced specialty materials.</w:t>
      </w:r>
    </w:p>
    <w:p>
      <w:pPr>
        <w:pStyle w:val="BodyText"/>
      </w:pPr>
      <w:r>
        <w:t xml:space="preserve">Total Carbon Footprint</w:t>
      </w:r>
    </w:p>
    <w:p>
      <w:pPr>
        <w:pStyle w:val="BodyText"/>
      </w:pPr>
      <w:r>
        <w:t xml:space="preserve">4,286.30 kg CO</w:t>
      </w:r>
      <w:r>
        <w:rPr>
          <w:vertAlign w:val="subscript"/>
        </w:rPr>
        <w:t xml:space="preserve">2</w:t>
      </w:r>
      <w:r>
        <w:t xml:space="preserve">e</w:t>
      </w:r>
    </w:p>
    <w:p>
      <w:pPr>
        <w:pStyle w:val="BodyText"/>
      </w:pPr>
      <w:r>
        <w:t xml:space="preserve">4.286 t CO</w:t>
      </w:r>
      <w:r>
        <w:rPr>
          <w:vertAlign w:val="subscript"/>
        </w:rPr>
        <w:t xml:space="preserve">2</w:t>
      </w:r>
      <w:r>
        <w:t xml:space="preserve">e / t TiO</w:t>
      </w:r>
      <w:r>
        <w:rPr>
          <w:vertAlign w:val="subscript"/>
        </w:rPr>
        <w:t xml:space="preserve">2</w:t>
      </w:r>
    </w:p>
    <w:p>
      <w:pPr>
        <w:pStyle w:val="BodyText"/>
      </w:pPr>
      <w:r>
        <w:t xml:space="preserve">Scope 3 Value Chain Share</w:t>
      </w:r>
    </w:p>
    <w:p>
      <w:pPr>
        <w:pStyle w:val="BodyText"/>
      </w:pPr>
      <w:r>
        <w:t xml:space="preserve">48.2%</w:t>
      </w:r>
    </w:p>
    <w:p>
      <w:pPr>
        <w:pStyle w:val="BodyText"/>
      </w:pPr>
      <w:r>
        <w:t xml:space="preserve">2,066.00 kg CO</w:t>
      </w:r>
      <w:r>
        <w:rPr>
          <w:vertAlign w:val="subscript"/>
        </w:rPr>
        <w:t xml:space="preserve">2</w:t>
      </w:r>
      <w:r>
        <w:t xml:space="preserve">e</w:t>
      </w:r>
    </w:p>
    <w:p>
      <w:pPr>
        <w:pStyle w:val="BodyText"/>
      </w:pPr>
      <w:r>
        <w:t xml:space="preserve">Scope 3 Inventory Coverage</w:t>
      </w:r>
    </w:p>
    <w:p>
      <w:pPr>
        <w:pStyle w:val="BodyText"/>
      </w:pPr>
      <w:r>
        <w:t xml:space="preserve">98.4%</w:t>
      </w:r>
    </w:p>
    <w:p>
      <w:pPr>
        <w:pStyle w:val="BodyText"/>
      </w:pPr>
      <w:r>
        <w:t xml:space="preserve">Compliant (≥ 95% threshold)</w:t>
      </w:r>
    </w:p>
    <w:p>
      <w:pPr>
        <w:pStyle w:val="BodyText"/>
      </w:pPr>
      <w:r>
        <w:t xml:space="preserve">Key operational and methodological insights include:</w:t>
      </w:r>
    </w:p>
    <w:p>
      <w:pPr>
        <w:numPr>
          <w:ilvl w:val="0"/>
          <w:numId w:val="1001"/>
        </w:numPr>
        <w:pStyle w:val="Compact"/>
      </w:pPr>
      <w:r>
        <w:rPr>
          <w:bCs/>
          <w:b/>
        </w:rPr>
        <w:t xml:space="preserve">Thermal &amp; Chemical Hotspots:</w:t>
      </w:r>
      <w:r>
        <w:t xml:space="preserve"> </w:t>
      </w:r>
      <w:r>
        <w:t xml:space="preserve">High-temperature calcination and hydrolysis represent the largest direct site-level emissions profile, requiring massive continuous process heating and steam integration.</w:t>
      </w:r>
    </w:p>
    <w:p>
      <w:pPr>
        <w:numPr>
          <w:ilvl w:val="0"/>
          <w:numId w:val="1001"/>
        </w:numPr>
        <w:pStyle w:val="Compact"/>
      </w:pPr>
      <w:r>
        <w:rPr>
          <w:bCs/>
          <w:b/>
        </w:rPr>
        <w:t xml:space="preserve">Upstream Ore Logistics:</w:t>
      </w:r>
      <w:r>
        <w:t xml:space="preserve"> </w:t>
      </w:r>
      <w:r>
        <w:t xml:space="preserve">Bulk maritime transport of titanium mineral concentrates (ilmenite/synthetic rutile) over</w:t>
      </w:r>
      <w:r>
        <w:t xml:space="preserve"> </w:t>
      </w:r>
      <w:r>
        <w:rPr>
          <w:bCs/>
          <w:b/>
        </w:rPr>
        <w:t xml:space="preserve">10,000 km</w:t>
      </w:r>
      <w:r>
        <w:t xml:space="preserve"> </w:t>
      </w:r>
      <w:r>
        <w:t xml:space="preserve">by bulk carrier accounts for</w:t>
      </w:r>
      <w:r>
        <w:t xml:space="preserve"> </w:t>
      </w:r>
      <w:r>
        <w:rPr>
          <w:bCs/>
          <w:b/>
        </w:rPr>
        <w:t xml:space="preserve">195.50 kg CO</w:t>
      </w:r>
      <w:r>
        <w:rPr>
          <w:vertAlign w:val="subscript"/>
          <w:bCs/>
          <w:b/>
        </w:rPr>
        <w:t xml:space="preserve">2</w:t>
      </w:r>
      <w:r>
        <w:rPr>
          <w:bCs/>
          <w:b/>
        </w:rPr>
        <w:t xml:space="preserve">e</w:t>
      </w:r>
      <w:r>
        <w:t xml:space="preserve"> </w:t>
      </w:r>
      <w:r>
        <w:t xml:space="preserve">per functional unit (4.56% of total PCF), emphasizing the weight of transoceanic supply lines connecting oceanic extraction hubs to Chinese refining facilities.</w:t>
      </w:r>
    </w:p>
    <w:p>
      <w:pPr>
        <w:numPr>
          <w:ilvl w:val="0"/>
          <w:numId w:val="1001"/>
        </w:numPr>
        <w:pStyle w:val="Compact"/>
      </w:pPr>
      <w:r>
        <w:rPr>
          <w:bCs/>
          <w:b/>
        </w:rPr>
        <w:t xml:space="preserve">Grid Electricity Intensity:</w:t>
      </w:r>
      <w:r>
        <w:t xml:space="preserve"> </w:t>
      </w:r>
      <w:r>
        <w:t xml:space="preserve">Grid-tied electricity consumption (1,850 kWh/t) contributes</w:t>
      </w:r>
      <w:r>
        <w:t xml:space="preserve"> </w:t>
      </w:r>
      <w:r>
        <w:rPr>
          <w:bCs/>
          <w:b/>
        </w:rPr>
        <w:t xml:space="preserve">1,054.50 kg CO</w:t>
      </w:r>
      <w:r>
        <w:rPr>
          <w:vertAlign w:val="subscript"/>
          <w:bCs/>
          <w:b/>
        </w:rPr>
        <w:t xml:space="preserve">2</w:t>
      </w:r>
      <w:r>
        <w:rPr>
          <w:bCs/>
          <w:b/>
        </w:rPr>
        <w:t xml:space="preserve">e</w:t>
      </w:r>
      <w:r>
        <w:t xml:space="preserve"> </w:t>
      </w:r>
      <w:r>
        <w:t xml:space="preserve">under China’s regionalized generation emission factor (0.570 kg CO</w:t>
      </w:r>
      <w:r>
        <w:rPr>
          <w:vertAlign w:val="subscript"/>
        </w:rPr>
        <w:t xml:space="preserve">2</w:t>
      </w:r>
      <w:r>
        <w:t xml:space="preserve">e/kWh), representing 24.60% of total product footprint.</w:t>
      </w:r>
    </w:p>
    <w:p>
      <w:pPr>
        <w:numPr>
          <w:ilvl w:val="0"/>
          <w:numId w:val="1001"/>
        </w:numPr>
        <w:pStyle w:val="Compact"/>
      </w:pPr>
      <w:r>
        <w:rPr>
          <w:bCs/>
          <w:b/>
        </w:rPr>
        <w:t xml:space="preserve">2026 Land Sector and Removals (LSR) Compliance:</w:t>
      </w:r>
      <w:r>
        <w:t xml:space="preserve"> </w:t>
      </w:r>
      <w:r>
        <w:t xml:space="preserve">Direct Land Use Change (dLUC) driven by strip mining for heavy mineral sands accounts for</w:t>
      </w:r>
      <w:r>
        <w:t xml:space="preserve"> </w:t>
      </w:r>
      <w:r>
        <w:rPr>
          <w:bCs/>
          <w:b/>
        </w:rPr>
        <w:t xml:space="preserve">42.00 kg CO</w:t>
      </w:r>
      <w:r>
        <w:rPr>
          <w:vertAlign w:val="subscript"/>
          <w:bCs/>
          <w:b/>
        </w:rPr>
        <w:t xml:space="preserve">2</w:t>
      </w:r>
      <w:r>
        <w:rPr>
          <w:bCs/>
          <w:b/>
        </w:rPr>
        <w:t xml:space="preserve">e</w:t>
      </w:r>
      <w:r>
        <w:t xml:space="preserve">. Biogenic removals are zero (0.00 kg CO</w:t>
      </w:r>
      <w:r>
        <w:rPr>
          <w:vertAlign w:val="subscript"/>
        </w:rPr>
        <w:t xml:space="preserve">2</w:t>
      </w:r>
      <w:r>
        <w:t xml:space="preserve">e), as TiO</w:t>
      </w:r>
      <w:r>
        <w:rPr>
          <w:vertAlign w:val="subscript"/>
        </w:rPr>
        <w:t xml:space="preserve">2</w:t>
      </w:r>
      <w:r>
        <w:t xml:space="preserve"> </w:t>
      </w:r>
      <w:r>
        <w:t xml:space="preserve">is an entirely mineralized synthetic pigment with non-biogenic input pathways.</w:t>
      </w:r>
    </w:p>
    <w:p>
      <w:pPr>
        <w:pStyle w:val="FirstParagraph"/>
      </w:pPr>
      <w:r>
        <w:rPr>
          <w:bCs/>
          <w:b/>
        </w:rPr>
        <w:t xml:space="preserve">2026 Scope 3 &amp; LSR Compliance Statement:</w:t>
      </w:r>
      <w:r>
        <w:t xml:space="preserve"> </w:t>
      </w:r>
      <w:r>
        <w:t xml:space="preserve">In alignment with 2026 GHG Protocol Scope 3 mandatory guidance, upstream category screening captures &gt;98% of all cumulative mass and energy flows. Furthermore, the Land Sector and Removals (LSR) Standard was applied to quantify land transformation and land management emissions associated with upstream ilmenite strip mining operations.</w:t>
      </w:r>
    </w:p>
    <w:p>
      <w:r>
        <w:pict>
          <v:rect style="width:0;height:1.5pt" o:hralign="center" o:hrstd="t" o:hr="t"/>
        </w:pict>
      </w:r>
    </w:p>
    <w:bookmarkEnd w:id="21"/>
    <w:bookmarkStart w:id="26" w:name="X0c5b8f6966098ef481ac6da068d42586eea86af"/>
    <w:p>
      <w:pPr>
        <w:pStyle w:val="Heading1"/>
      </w:pPr>
      <w:r>
        <w:t xml:space="preserve">Step 1: Scope Definition &amp; System Boundaries</w:t>
      </w:r>
    </w:p>
    <w:bookmarkStart w:id="22" w:name="functional-unit-reference-flow"/>
    <w:p>
      <w:pPr>
        <w:pStyle w:val="Heading2"/>
      </w:pPr>
      <w:r>
        <w:t xml:space="preserve">1.1 Functional Unit &amp; Reference Flow</w:t>
      </w:r>
    </w:p>
    <w:p>
      <w:pPr>
        <w:pStyle w:val="FirstParagraph"/>
      </w:pPr>
      <w:r>
        <w:t xml:space="preserve">The functional unit is defined as</w:t>
      </w:r>
      <w:r>
        <w:t xml:space="preserve"> </w:t>
      </w:r>
      <w:r>
        <w:rPr>
          <w:bCs/>
          <w:b/>
        </w:rPr>
        <w:t xml:space="preserve">1.0 metric ton (1,000 kg) of finished, packaged pigmentary Titanium Dioxide (TiO</w:t>
      </w:r>
      <w:r>
        <w:rPr>
          <w:vertAlign w:val="subscript"/>
          <w:bCs/>
          <w:b/>
        </w:rPr>
        <w:t xml:space="preserve">2</w:t>
      </w:r>
      <w:r>
        <w:rPr>
          <w:bCs/>
          <w:b/>
        </w:rPr>
        <w:t xml:space="preserve">)</w:t>
      </w:r>
      <w:r>
        <w:t xml:space="preserve"> </w:t>
      </w:r>
      <w:r>
        <w:t xml:space="preserve">at the factory gate, exhibiting a minimum purity of 93.0% TiO</w:t>
      </w:r>
      <w:r>
        <w:rPr>
          <w:vertAlign w:val="subscript"/>
        </w:rPr>
        <w:t xml:space="preserve">2</w:t>
      </w:r>
      <w:r>
        <w:t xml:space="preserve"> </w:t>
      </w:r>
      <w:r>
        <w:t xml:space="preserve">with silica (SiO</w:t>
      </w:r>
      <w:r>
        <w:rPr>
          <w:vertAlign w:val="subscript"/>
        </w:rPr>
        <w:t xml:space="preserve">2</w:t>
      </w:r>
      <w:r>
        <w:t xml:space="preserve">) and alumina (Al</w:t>
      </w:r>
      <w:r>
        <w:rPr>
          <w:vertAlign w:val="subscript"/>
        </w:rPr>
        <w:t xml:space="preserve">2</w:t>
      </w:r>
      <w:r>
        <w:t xml:space="preserve">O</w:t>
      </w:r>
      <w:r>
        <w:rPr>
          <w:vertAlign w:val="subscript"/>
        </w:rPr>
        <w:t xml:space="preserve">3</w:t>
      </w:r>
      <w:r>
        <w:t xml:space="preserve">) surface stabilization coatings, moisture content &lt; 0.5%, packaged in 25 kg multi-wall valve paper bags on wooden pallets.</w:t>
      </w:r>
    </w:p>
    <w:bookmarkEnd w:id="22"/>
    <w:bookmarkStart w:id="23" w:name="Xc571c570b398d84819b32ca86b5eae90dde3ffd"/>
    <w:p>
      <w:pPr>
        <w:pStyle w:val="Heading2"/>
      </w:pPr>
      <w:r>
        <w:t xml:space="preserve">1.2 System Boundary: Factory Gate (Cradle-to-Gate)</w:t>
      </w:r>
    </w:p>
    <w:p>
      <w:pPr>
        <w:pStyle w:val="FirstParagraph"/>
      </w:pPr>
      <w:r>
        <w:t xml:space="preserve">The study enforces a strict</w:t>
      </w:r>
      <w:r>
        <w:t xml:space="preserve"> </w:t>
      </w:r>
      <w:r>
        <w:rPr>
          <w:iCs/>
          <w:i/>
        </w:rPr>
        <w:t xml:space="preserve">Cradle-to-Gate</w:t>
      </w:r>
      <w:r>
        <w:t xml:space="preserve"> </w:t>
      </w:r>
      <w:r>
        <w:t xml:space="preserve">boundary in accordance with the GHG Protocol Product Standard. Downstream transport to customers, product formulation, application, end-of-life disposal, and secondary recycling are excluded.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Module</w:t>
            </w:r>
          </w:p>
        </w:tc>
        <w:tc>
          <w:tcPr/>
          <w:p>
            <w:pPr>
              <w:pStyle w:val="Compact"/>
              <w:jc w:val="left"/>
            </w:pPr>
            <w:r>
              <w:t xml:space="preserve">Included Life Cycle Activities</w:t>
            </w:r>
          </w:p>
        </w:tc>
        <w:tc>
          <w:tcPr/>
          <w:p>
            <w:pPr>
              <w:pStyle w:val="Compact"/>
              <w:jc w:val="left"/>
            </w:pPr>
            <w:r>
              <w:t xml:space="preserve">Exclusion Justification</w:t>
            </w:r>
          </w:p>
        </w:tc>
      </w:tr>
      <w:tr>
        <w:tc>
          <w:tcPr/>
          <w:p>
            <w:pPr>
              <w:pStyle w:val="Compact"/>
              <w:jc w:val="left"/>
            </w:pPr>
            <w:r>
              <w:rPr>
                <w:bCs/>
                <w:b/>
              </w:rPr>
              <w:t xml:space="preserve">Upstream (Cradle)</w:t>
            </w:r>
          </w:p>
        </w:tc>
        <w:tc>
          <w:tcPr/>
          <w:p>
            <w:pPr>
              <w:pStyle w:val="Compact"/>
              <w:jc w:val="left"/>
            </w:pPr>
            <w:r>
              <w:t xml:space="preserve">Ilmenite and rutile mining, mineral sands separation, chemical extractants, sulfuric acid (H</w:t>
            </w:r>
            <w:r>
              <w:rPr>
                <w:vertAlign w:val="subscript"/>
              </w:rPr>
              <w:t xml:space="preserve">2</w:t>
            </w:r>
            <w:r>
              <w:t xml:space="preserve">SO</w:t>
            </w:r>
            <w:r>
              <w:rPr>
                <w:vertAlign w:val="subscript"/>
              </w:rPr>
              <w:t xml:space="preserve">4</w:t>
            </w:r>
            <w:r>
              <w:t xml:space="preserve">) synthesis, chlorine gas production, petroleum coke refining, coating agents (SiO</w:t>
            </w:r>
            <w:r>
              <w:rPr>
                <w:vertAlign w:val="subscript"/>
              </w:rPr>
              <w:t xml:space="preserve">2</w:t>
            </w:r>
            <w:r>
              <w:t xml:space="preserve">, Al</w:t>
            </w:r>
            <w:r>
              <w:rPr>
                <w:vertAlign w:val="subscript"/>
              </w:rPr>
              <w:t xml:space="preserve">2</w:t>
            </w:r>
            <w:r>
              <w:t xml:space="preserve">O</w:t>
            </w:r>
            <w:r>
              <w:rPr>
                <w:vertAlign w:val="subscript"/>
              </w:rPr>
              <w:t xml:space="preserve">3</w:t>
            </w:r>
            <w:r>
              <w:t xml:space="preserve">), inbound transoceanic sea transit (10,000 km), and land use change (dLUC).</w:t>
            </w:r>
          </w:p>
        </w:tc>
        <w:tc>
          <w:tcPr/>
          <w:p>
            <w:pPr>
              <w:pStyle w:val="Compact"/>
              <w:jc w:val="left"/>
            </w:pPr>
            <w:r>
              <w:t xml:space="preserve">None. Captures 98.4% of upstream Scope 3 mass/energy.</w:t>
            </w:r>
          </w:p>
        </w:tc>
      </w:tr>
      <w:tr>
        <w:tc>
          <w:tcPr/>
          <w:p>
            <w:pPr>
              <w:pStyle w:val="Compact"/>
              <w:jc w:val="left"/>
            </w:pPr>
            <w:r>
              <w:rPr>
                <w:bCs/>
                <w:b/>
              </w:rPr>
              <w:t xml:space="preserve">Direct Operations (Gate)</w:t>
            </w:r>
          </w:p>
        </w:tc>
        <w:tc>
          <w:tcPr/>
          <w:p>
            <w:pPr>
              <w:pStyle w:val="Compact"/>
              <w:jc w:val="left"/>
            </w:pPr>
            <w:r>
              <w:t xml:space="preserve">Ore digestion/chlorination, reduction, crystallization, hydrolysis/oxidation, rotary kiln calcination, steam generation, surface chemical coating, air-jet milling/micronization, and automated bagging.</w:t>
            </w:r>
          </w:p>
        </w:tc>
        <w:tc>
          <w:tcPr/>
          <w:p>
            <w:pPr>
              <w:pStyle w:val="Compact"/>
              <w:jc w:val="left"/>
            </w:pPr>
            <w:r>
              <w:t xml:space="preserve">None. Scope 1 and Scope 2 activities 100% captured.</w:t>
            </w:r>
          </w:p>
        </w:tc>
      </w:tr>
      <w:tr>
        <w:tc>
          <w:tcPr/>
          <w:p>
            <w:pPr>
              <w:pStyle w:val="Compact"/>
              <w:jc w:val="left"/>
            </w:pPr>
            <w:r>
              <w:rPr>
                <w:bCs/>
                <w:b/>
              </w:rPr>
              <w:t xml:space="preserve">Downstream (Excluded)</w:t>
            </w:r>
          </w:p>
        </w:tc>
        <w:tc>
          <w:tcPr/>
          <w:p>
            <w:pPr>
              <w:pStyle w:val="Compact"/>
              <w:jc w:val="left"/>
            </w:pPr>
            <w:r>
              <w:t xml:space="preserve">Distribution to paint/plastics converters, compounding, paint curing, landfill/incineration of pigments at end-of-life.</w:t>
            </w:r>
          </w:p>
        </w:tc>
        <w:tc>
          <w:tcPr/>
          <w:p>
            <w:pPr>
              <w:pStyle w:val="Compact"/>
              <w:jc w:val="left"/>
            </w:pPr>
            <w:r>
              <w:t xml:space="preserve">Downstream fate is customer-specific; excluded per Cradle-to-Gate standard boundary.</w:t>
            </w:r>
          </w:p>
        </w:tc>
      </w:tr>
    </w:tbl>
    <w:bookmarkEnd w:id="23"/>
    <w:bookmarkStart w:id="24" w:name="geographic-scope-supply-chain-focus"/>
    <w:p>
      <w:pPr>
        <w:pStyle w:val="Heading2"/>
      </w:pPr>
      <w:r>
        <w:t xml:space="preserve">1.3 Geographic Scope &amp; Supply Chain Focus</w:t>
      </w:r>
    </w:p>
    <w:p>
      <w:pPr>
        <w:pStyle w:val="FirstParagraph"/>
      </w:pPr>
      <w:r>
        <w:t xml:space="preserve">Primary processing, final synthesis, calcination, surface treatment, and packaging occur in industrial chemical zones in coastal</w:t>
      </w:r>
      <w:r>
        <w:t xml:space="preserve"> </w:t>
      </w:r>
      <w:r>
        <w:rPr>
          <w:bCs/>
          <w:b/>
        </w:rPr>
        <w:t xml:space="preserve">China</w:t>
      </w:r>
      <w:r>
        <w:t xml:space="preserve">. Upstream raw material supply chains encompass the</w:t>
      </w:r>
      <w:r>
        <w:t xml:space="preserve"> </w:t>
      </w:r>
      <w:r>
        <w:rPr>
          <w:bCs/>
          <w:b/>
        </w:rPr>
        <w:t xml:space="preserve">Asia-Pacific and global mineral corridors</w:t>
      </w:r>
      <w:r>
        <w:t xml:space="preserve"> </w:t>
      </w:r>
      <w:r>
        <w:t xml:space="preserve">(e.g., mineral sands sourced transoceanically from Australia, Africa, or Southeast Asia), traveling an assigned baseline of</w:t>
      </w:r>
      <w:r>
        <w:t xml:space="preserve"> </w:t>
      </w:r>
      <w:r>
        <w:rPr>
          <w:bCs/>
          <w:b/>
        </w:rPr>
        <w:t xml:space="preserve">10,000 km via international bulk maritime shipping</w:t>
      </w:r>
      <w:r>
        <w:t xml:space="preserve"> </w:t>
      </w:r>
      <w:r>
        <w:t xml:space="preserve">to Chinese receiving ports.</w:t>
      </w:r>
    </w:p>
    <w:bookmarkEnd w:id="24"/>
    <w:bookmarkStart w:id="25" w:name="multi-output-allocation-procedures"/>
    <w:p>
      <w:pPr>
        <w:pStyle w:val="Heading2"/>
      </w:pPr>
      <w:r>
        <w:t xml:space="preserve">1.4 Multi-Output Allocation Procedures</w:t>
      </w:r>
    </w:p>
    <w:p>
      <w:pPr>
        <w:pStyle w:val="FirstParagraph"/>
      </w:pPr>
      <w:r>
        <w:t xml:space="preserve">The manufacturing of TiO</w:t>
      </w:r>
      <w:r>
        <w:rPr>
          <w:vertAlign w:val="subscript"/>
        </w:rPr>
        <w:t xml:space="preserve">2</w:t>
      </w:r>
      <w:r>
        <w:t xml:space="preserve"> </w:t>
      </w:r>
      <w:r>
        <w:t xml:space="preserve">yields co-products (notably copperas / ferrous sulfate heptahydrate [FeSO</w:t>
      </w:r>
      <w:r>
        <w:rPr>
          <w:vertAlign w:val="subscript"/>
        </w:rPr>
        <w:t xml:space="preserve">4</w:t>
      </w:r>
      <w:r>
        <w:t xml:space="preserve">·7H</w:t>
      </w:r>
      <w:r>
        <w:rPr>
          <w:vertAlign w:val="subscript"/>
        </w:rPr>
        <w:t xml:space="preserve">2</w:t>
      </w:r>
      <w:r>
        <w:t xml:space="preserve">O] and titanium oxychloride residues). Allocation is handled following the GHG Protocol hierarchy:</w:t>
      </w:r>
    </w:p>
    <w:p>
      <w:pPr>
        <w:numPr>
          <w:ilvl w:val="0"/>
          <w:numId w:val="1002"/>
        </w:numPr>
        <w:pStyle w:val="Compact"/>
      </w:pPr>
      <w:r>
        <w:rPr>
          <w:bCs/>
          <w:b/>
        </w:rPr>
        <w:t xml:space="preserve">Sub-division / Process Separation:</w:t>
      </w:r>
      <w:r>
        <w:t xml:space="preserve"> </w:t>
      </w:r>
      <w:r>
        <w:t xml:space="preserve">Applied wherever acid recovery and auxiliary crystallization are independently monitored.</w:t>
      </w:r>
    </w:p>
    <w:p>
      <w:pPr>
        <w:numPr>
          <w:ilvl w:val="0"/>
          <w:numId w:val="1002"/>
        </w:numPr>
        <w:pStyle w:val="Compact"/>
      </w:pPr>
      <w:r>
        <w:rPr>
          <w:bCs/>
          <w:b/>
        </w:rPr>
        <w:t xml:space="preserve">Economic Allocation:</w:t>
      </w:r>
      <w:r>
        <w:t xml:space="preserve"> </w:t>
      </w:r>
      <w:r>
        <w:t xml:space="preserve">Used for the unavoidable joint chemical digestion stage. Ferrous sulfate holds minimal economic market value (&lt; 2.5% of gross plant revenue), assigning</w:t>
      </w:r>
      <w:r>
        <w:t xml:space="preserve"> </w:t>
      </w:r>
      <w:r>
        <w:rPr>
          <w:bCs/>
          <w:b/>
        </w:rPr>
        <w:t xml:space="preserve">97.5%</w:t>
      </w:r>
      <w:r>
        <w:t xml:space="preserve"> </w:t>
      </w:r>
      <w:r>
        <w:t xml:space="preserve">of upstream digestion burdens directly to the primary TiO</w:t>
      </w:r>
      <w:r>
        <w:rPr>
          <w:vertAlign w:val="subscript"/>
        </w:rPr>
        <w:t xml:space="preserve">2</w:t>
      </w:r>
      <w:r>
        <w:t xml:space="preserve"> </w:t>
      </w:r>
      <w:r>
        <w:t xml:space="preserve">reference flow.</w:t>
      </w:r>
    </w:p>
    <w:p>
      <w:r>
        <w:pict>
          <v:rect style="width:0;height:1.5pt" o:hralign="center" o:hrstd="t" o:hr="t"/>
        </w:pict>
      </w:r>
    </w:p>
    <w:bookmarkEnd w:id="25"/>
    <w:bookmarkEnd w:id="26"/>
    <w:bookmarkStart w:id="27" w:name="Xddcb1330e024bb404c5b2a326893e15bfb350cf"/>
    <w:p>
      <w:pPr>
        <w:pStyle w:val="Heading1"/>
      </w:pPr>
      <w:r>
        <w:t xml:space="preserve">Step 2: Lifecycle Inventory (LCI) Process Mapping</w:t>
      </w:r>
    </w:p>
    <w:p>
      <w:pPr>
        <w:pStyle w:val="FirstParagraph"/>
      </w:pPr>
      <w:r>
        <w:t xml:space="preserve">The industrial process flow is mapped across five distinct operational phases. Both direct gate-level activities and external supply-chain inputs are categorized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Process Step</w:t>
            </w:r>
          </w:p>
        </w:tc>
        <w:tc>
          <w:tcPr/>
          <w:p>
            <w:pPr>
              <w:pStyle w:val="Compact"/>
              <w:jc w:val="left"/>
            </w:pPr>
            <w:r>
              <w:t xml:space="preserve">Key Chemical / Material Inputs</w:t>
            </w:r>
          </w:p>
        </w:tc>
        <w:tc>
          <w:tcPr/>
          <w:p>
            <w:pPr>
              <w:pStyle w:val="Compact"/>
              <w:jc w:val="left"/>
            </w:pPr>
            <w:r>
              <w:t xml:space="preserve">Direct Energy &amp; Emission Outflows</w:t>
            </w:r>
          </w:p>
        </w:tc>
      </w:tr>
      <w:tr>
        <w:tc>
          <w:tcPr/>
          <w:p>
            <w:pPr>
              <w:pStyle w:val="Compact"/>
              <w:jc w:val="left"/>
            </w:pPr>
            <w:r>
              <w:rPr>
                <w:bCs/>
                <w:b/>
              </w:rPr>
              <w:t xml:space="preserve">Stage 1</w:t>
            </w:r>
          </w:p>
        </w:tc>
        <w:tc>
          <w:tcPr/>
          <w:p>
            <w:pPr>
              <w:pStyle w:val="Compact"/>
              <w:jc w:val="left"/>
            </w:pPr>
            <w:r>
              <w:t xml:space="preserve">Ore Beneficiation &amp; Logistics</w:t>
            </w:r>
          </w:p>
        </w:tc>
        <w:tc>
          <w:tcPr/>
          <w:p>
            <w:pPr>
              <w:pStyle w:val="Compact"/>
              <w:jc w:val="left"/>
            </w:pPr>
            <w:r>
              <w:t xml:space="preserve">Raw ilmenite sands (FeTiO</w:t>
            </w:r>
            <w:r>
              <w:rPr>
                <w:vertAlign w:val="subscript"/>
              </w:rPr>
              <w:t xml:space="preserve">3</w:t>
            </w:r>
            <w:r>
              <w:t xml:space="preserve">), flocculants, diesel fuel for earthmovers.</w:t>
            </w:r>
          </w:p>
        </w:tc>
        <w:tc>
          <w:tcPr/>
          <w:p>
            <w:pPr>
              <w:pStyle w:val="Compact"/>
              <w:jc w:val="left"/>
            </w:pPr>
            <w:r>
              <w:t xml:space="preserve">10,000 km Bulk Sea Freight, tailing residues, land disturbance.</w:t>
            </w:r>
          </w:p>
        </w:tc>
      </w:tr>
      <w:tr>
        <w:tc>
          <w:tcPr/>
          <w:p>
            <w:pPr>
              <w:pStyle w:val="Compact"/>
              <w:jc w:val="left"/>
            </w:pPr>
            <w:r>
              <w:rPr>
                <w:bCs/>
                <w:b/>
              </w:rPr>
              <w:t xml:space="preserve">Stage 2</w:t>
            </w:r>
          </w:p>
        </w:tc>
        <w:tc>
          <w:tcPr/>
          <w:p>
            <w:pPr>
              <w:pStyle w:val="Compact"/>
              <w:jc w:val="left"/>
            </w:pPr>
            <w:r>
              <w:t xml:space="preserve">Chemical Digestion &amp; Clarification</w:t>
            </w:r>
          </w:p>
        </w:tc>
        <w:tc>
          <w:tcPr/>
          <w:p>
            <w:pPr>
              <w:pStyle w:val="Compact"/>
              <w:jc w:val="left"/>
            </w:pPr>
            <w:r>
              <w:t xml:space="preserve">Concentrated sulfuric acid (98% H</w:t>
            </w:r>
            <w:r>
              <w:rPr>
                <w:vertAlign w:val="subscript"/>
              </w:rPr>
              <w:t xml:space="preserve">2</w:t>
            </w:r>
            <w:r>
              <w:t xml:space="preserve">SO</w:t>
            </w:r>
            <w:r>
              <w:rPr>
                <w:vertAlign w:val="subscript"/>
              </w:rPr>
              <w:t xml:space="preserve">4</w:t>
            </w:r>
            <w:r>
              <w:t xml:space="preserve">), iron scrap reductant, water.</w:t>
            </w:r>
          </w:p>
        </w:tc>
        <w:tc>
          <w:tcPr/>
          <w:p>
            <w:pPr>
              <w:pStyle w:val="Compact"/>
              <w:jc w:val="left"/>
            </w:pPr>
            <w:r>
              <w:t xml:space="preserve">Exothermic reaction heat, ferrous sulfate crystallization, acid cake waste.</w:t>
            </w:r>
          </w:p>
        </w:tc>
      </w:tr>
      <w:tr>
        <w:tc>
          <w:tcPr/>
          <w:p>
            <w:pPr>
              <w:pStyle w:val="Compact"/>
              <w:jc w:val="left"/>
            </w:pPr>
            <w:r>
              <w:rPr>
                <w:bCs/>
                <w:b/>
              </w:rPr>
              <w:t xml:space="preserve">Stage 3</w:t>
            </w:r>
          </w:p>
        </w:tc>
        <w:tc>
          <w:tcPr/>
          <w:p>
            <w:pPr>
              <w:pStyle w:val="Compact"/>
              <w:jc w:val="left"/>
            </w:pPr>
            <w:r>
              <w:t xml:space="preserve">Hydrolysis, Precipitation &amp; Washing</w:t>
            </w:r>
          </w:p>
        </w:tc>
        <w:tc>
          <w:tcPr/>
          <w:p>
            <w:pPr>
              <w:pStyle w:val="Compact"/>
              <w:jc w:val="left"/>
            </w:pPr>
            <w:r>
              <w:t xml:space="preserve">Demineralized water, seed crystals, pressurized process steam.</w:t>
            </w:r>
          </w:p>
        </w:tc>
        <w:tc>
          <w:tcPr/>
          <w:p>
            <w:pPr>
              <w:pStyle w:val="Compact"/>
              <w:jc w:val="left"/>
            </w:pPr>
            <w:r>
              <w:t xml:space="preserve">Acidic wastewater effluent, neutral wash cakes, hydrous TiO</w:t>
            </w:r>
            <w:r>
              <w:rPr>
                <w:vertAlign w:val="subscript"/>
              </w:rPr>
              <w:t xml:space="preserve">2</w:t>
            </w:r>
            <w:r>
              <w:t xml:space="preserve"> </w:t>
            </w:r>
            <w:r>
              <w:t xml:space="preserve">pulp.</w:t>
            </w:r>
          </w:p>
        </w:tc>
      </w:tr>
      <w:tr>
        <w:tc>
          <w:tcPr/>
          <w:p>
            <w:pPr>
              <w:pStyle w:val="Compact"/>
              <w:jc w:val="left"/>
            </w:pPr>
            <w:r>
              <w:rPr>
                <w:bCs/>
                <w:b/>
              </w:rPr>
              <w:t xml:space="preserve">Stage 4</w:t>
            </w:r>
          </w:p>
        </w:tc>
        <w:tc>
          <w:tcPr/>
          <w:p>
            <w:pPr>
              <w:pStyle w:val="Compact"/>
              <w:jc w:val="left"/>
            </w:pPr>
            <w:r>
              <w:t xml:space="preserve">Calcination &amp; Phase Conversion</w:t>
            </w:r>
          </w:p>
        </w:tc>
        <w:tc>
          <w:tcPr/>
          <w:p>
            <w:pPr>
              <w:pStyle w:val="Compact"/>
              <w:jc w:val="left"/>
            </w:pPr>
            <w:r>
              <w:t xml:space="preserve">Hydrous pulp, crystal modifiers (ZnO, K</w:t>
            </w:r>
            <w:r>
              <w:rPr>
                <w:vertAlign w:val="subscript"/>
              </w:rPr>
              <w:t xml:space="preserve">2</w:t>
            </w:r>
            <w:r>
              <w:t xml:space="preserve">O, P</w:t>
            </w:r>
            <w:r>
              <w:rPr>
                <w:vertAlign w:val="subscript"/>
              </w:rPr>
              <w:t xml:space="preserve">2</w:t>
            </w:r>
            <w:r>
              <w:t xml:space="preserve">O</w:t>
            </w:r>
            <w:r>
              <w:rPr>
                <w:vertAlign w:val="subscript"/>
              </w:rPr>
              <w:t xml:space="preserve">5</w:t>
            </w:r>
            <w:r>
              <w:t xml:space="preserve">), fuel gas.</w:t>
            </w:r>
          </w:p>
        </w:tc>
        <w:tc>
          <w:tcPr/>
          <w:p>
            <w:pPr>
              <w:pStyle w:val="Compact"/>
              <w:jc w:val="left"/>
            </w:pPr>
            <w:r>
              <w:t xml:space="preserve">Direct kiln combustion (Scope 1 CO</w:t>
            </w:r>
            <w:r>
              <w:rPr>
                <w:vertAlign w:val="subscript"/>
              </w:rPr>
              <w:t xml:space="preserve">2</w:t>
            </w:r>
            <w:r>
              <w:t xml:space="preserve">), SO</w:t>
            </w:r>
            <w:r>
              <w:rPr>
                <w:vertAlign w:val="subscript"/>
              </w:rPr>
              <w:t xml:space="preserve">2</w:t>
            </w:r>
            <w:r>
              <w:t xml:space="preserve">/acid mist emissions, flue scrubbers.</w:t>
            </w:r>
          </w:p>
        </w:tc>
      </w:tr>
      <w:tr>
        <w:tc>
          <w:tcPr/>
          <w:p>
            <w:pPr>
              <w:pStyle w:val="Compact"/>
              <w:jc w:val="left"/>
            </w:pPr>
            <w:r>
              <w:rPr>
                <w:bCs/>
                <w:b/>
              </w:rPr>
              <w:t xml:space="preserve">Stage 5</w:t>
            </w:r>
          </w:p>
        </w:tc>
        <w:tc>
          <w:tcPr/>
          <w:p>
            <w:pPr>
              <w:pStyle w:val="Compact"/>
              <w:jc w:val="left"/>
            </w:pPr>
            <w:r>
              <w:t xml:space="preserve">Surface Coating &amp; Micronization</w:t>
            </w:r>
          </w:p>
        </w:tc>
        <w:tc>
          <w:tcPr/>
          <w:p>
            <w:pPr>
              <w:pStyle w:val="Compact"/>
              <w:jc w:val="left"/>
            </w:pPr>
            <w:r>
              <w:t xml:space="preserve">Sodium silicate (SiO</w:t>
            </w:r>
            <w:r>
              <w:rPr>
                <w:vertAlign w:val="subscript"/>
              </w:rPr>
              <w:t xml:space="preserve">2</w:t>
            </w:r>
            <w:r>
              <w:t xml:space="preserve">), sodium aluminate (Al</w:t>
            </w:r>
            <w:r>
              <w:rPr>
                <w:vertAlign w:val="subscript"/>
              </w:rPr>
              <w:t xml:space="preserve">2</w:t>
            </w:r>
            <w:r>
              <w:t xml:space="preserve">O</w:t>
            </w:r>
            <w:r>
              <w:rPr>
                <w:vertAlign w:val="subscript"/>
              </w:rPr>
              <w:t xml:space="preserve">3</w:t>
            </w:r>
            <w:r>
              <w:t xml:space="preserve">), caustic soda, superheated steam, packaging bags.</w:t>
            </w:r>
          </w:p>
        </w:tc>
        <w:tc>
          <w:tcPr/>
          <w:p>
            <w:pPr>
              <w:pStyle w:val="Compact"/>
              <w:jc w:val="left"/>
            </w:pPr>
            <w:r>
              <w:t xml:space="preserve">Grid electricity for fluid energy mills, packaging material disposal.</w:t>
            </w:r>
          </w:p>
        </w:tc>
      </w:tr>
    </w:tbl>
    <w:p>
      <w:r>
        <w:pict>
          <v:rect style="width:0;height:1.5pt" o:hralign="center" o:hrstd="t" o:hr="t"/>
        </w:pict>
      </w:r>
    </w:p>
    <w:bookmarkEnd w:id="27"/>
    <w:bookmarkStart w:id="29" w:name="Xb64ff9ebb763dcc904bc19ba6d1b5efb33a4d71"/>
    <w:p>
      <w:pPr>
        <w:pStyle w:val="Heading1"/>
      </w:pPr>
      <w:r>
        <w:t xml:space="preserve">Step 3 &amp; Step 4: Data Collection &amp; Emissions Quantification</w:t>
      </w:r>
    </w:p>
    <w:p>
      <w:pPr>
        <w:pStyle w:val="FirstParagraph"/>
      </w:pPr>
      <w:r>
        <w:t xml:space="preserve">Quantification follows the core GHG Protocol formula:</w:t>
      </w:r>
      <w:r>
        <w:br/>
      </w:r>
      <w:r>
        <w:rPr>
          <w:rStyle w:val="VerbatimChar"/>
        </w:rPr>
        <w:t xml:space="preserve">Activity Data × Emission Factor (EF) = Total CO</w:t>
      </w:r>
      <w:r>
        <w:rPr>
          <w:rStyle w:val="VerbatimChar"/>
          <w:vertAlign w:val="subscript"/>
        </w:rPr>
        <w:t xml:space="preserve">2</w:t>
      </w:r>
      <w:r>
        <w:rPr>
          <w:rStyle w:val="VerbatimChar"/>
        </w:rPr>
        <w:t xml:space="preserve"> Equivalent (CO</w:t>
      </w:r>
      <w:r>
        <w:rPr>
          <w:rStyle w:val="VerbatimChar"/>
          <w:vertAlign w:val="subscript"/>
        </w:rPr>
        <w:t xml:space="preserve">2</w:t>
      </w:r>
      <w:r>
        <w:rPr>
          <w:rStyle w:val="VerbatimChar"/>
        </w:rPr>
        <w:t xml:space="preserve">e)</w:t>
      </w:r>
      <w:r>
        <w:t xml:space="preserve">.</w:t>
      </w:r>
      <w:r>
        <w:t xml:space="preserve"> </w:t>
      </w:r>
      <w:r>
        <w:t xml:space="preserve">Emission factors are compiled from verified repositories: Ecoinvent 3.10 (Cut-Off), DEFRA / UK DESNZ 2025/2026, IEA National Grid Factors for China, and the 2026 Land Sector and Removals Standard guidelines.</w:t>
      </w:r>
    </w:p>
    <w:bookmarkStart w:id="28" w:name="Xf8dc2b9070ae1b280b36f195a52b679db2d16e6"/>
    <w:p>
      <w:pPr>
        <w:pStyle w:val="Heading2"/>
      </w:pPr>
      <w:r>
        <w:t xml:space="preserve">4.1 Consolidated Emissions Inventory (1.0 Metric Ton TiO</w:t>
      </w:r>
      <w:r>
        <w:rPr>
          <w:vertAlign w:val="subscript"/>
        </w:rPr>
        <w:t xml:space="preserve">2</w:t>
      </w:r>
      <w:r>
        <w:t xml:space="preserv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Scope</w:t>
            </w:r>
          </w:p>
        </w:tc>
        <w:tc>
          <w:tcPr/>
          <w:p>
            <w:pPr>
              <w:pStyle w:val="Compact"/>
              <w:jc w:val="left"/>
            </w:pPr>
            <w:r>
              <w:t xml:space="preserve">Life Cycle Stage / Emission 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EF Source</w:t>
            </w:r>
          </w:p>
        </w:tc>
        <w:tc>
          <w:tcPr/>
          <w:p>
            <w:pPr>
              <w:pStyle w:val="Compact"/>
              <w:jc w:val="left"/>
            </w:pPr>
            <w:r>
              <w:t xml:space="preserve">Total (kg CO</w:t>
            </w:r>
            <w:r>
              <w:rPr>
                <w:vertAlign w:val="subscript"/>
              </w:rPr>
              <w:t xml:space="preserve">2</w:t>
            </w:r>
            <w:r>
              <w:t xml:space="preserve">e)</w:t>
            </w:r>
          </w:p>
        </w:tc>
        <w:tc>
          <w:tcPr/>
          <w:p>
            <w:pPr>
              <w:pStyle w:val="Compact"/>
              <w:jc w:val="left"/>
            </w:pPr>
            <w:r>
              <w:t xml:space="preserve">Share (%)</w:t>
            </w:r>
          </w:p>
        </w:tc>
      </w:tr>
      <w:tr>
        <w:tc>
          <w:tcPr/>
          <w:p>
            <w:pPr>
              <w:pStyle w:val="Compact"/>
              <w:jc w:val="left"/>
            </w:pPr>
            <w:r>
              <w:t xml:space="preserve">Scope 1</w:t>
            </w:r>
          </w:p>
        </w:tc>
        <w:tc>
          <w:tcPr/>
          <w:p>
            <w:pPr>
              <w:pStyle w:val="Compact"/>
              <w:jc w:val="left"/>
            </w:pPr>
            <w:r>
              <w:t xml:space="preserve">Natural Gas Combustion (Calcination Kiln)</w:t>
            </w:r>
          </w:p>
        </w:tc>
        <w:tc>
          <w:tcPr/>
          <w:p>
            <w:pPr>
              <w:pStyle w:val="Compact"/>
              <w:jc w:val="left"/>
            </w:pPr>
            <w:r>
              <w:t xml:space="preserve">12.50 GJ</w:t>
            </w:r>
          </w:p>
        </w:tc>
        <w:tc>
          <w:tcPr/>
          <w:p>
            <w:pPr>
              <w:pStyle w:val="Compact"/>
              <w:jc w:val="left"/>
            </w:pPr>
            <w:r>
              <w:t xml:space="preserve">56.10 kg CO</w:t>
            </w:r>
            <w:r>
              <w:rPr>
                <w:vertAlign w:val="subscript"/>
              </w:rPr>
              <w:t xml:space="preserve">2</w:t>
            </w:r>
            <w:r>
              <w:t xml:space="preserve">e / GJ</w:t>
            </w:r>
          </w:p>
        </w:tc>
        <w:tc>
          <w:tcPr/>
          <w:p>
            <w:pPr>
              <w:pStyle w:val="Compact"/>
              <w:jc w:val="left"/>
            </w:pPr>
            <w:r>
              <w:t xml:space="preserve">IPCC / DEFRA</w:t>
            </w:r>
          </w:p>
        </w:tc>
        <w:tc>
          <w:tcPr/>
          <w:p>
            <w:pPr>
              <w:pStyle w:val="Compact"/>
              <w:jc w:val="left"/>
            </w:pPr>
            <w:r>
              <w:t xml:space="preserve">701.25</w:t>
            </w:r>
          </w:p>
        </w:tc>
        <w:tc>
          <w:tcPr/>
          <w:p>
            <w:pPr>
              <w:pStyle w:val="Compact"/>
              <w:jc w:val="left"/>
            </w:pPr>
            <w:r>
              <w:t xml:space="preserve">16.36%</w:t>
            </w:r>
          </w:p>
        </w:tc>
      </w:tr>
      <w:tr>
        <w:tc>
          <w:tcPr/>
          <w:p>
            <w:pPr>
              <w:pStyle w:val="Compact"/>
              <w:jc w:val="left"/>
            </w:pPr>
            <w:r>
              <w:t xml:space="preserve">Scope 1</w:t>
            </w:r>
          </w:p>
        </w:tc>
        <w:tc>
          <w:tcPr/>
          <w:p>
            <w:pPr>
              <w:pStyle w:val="Compact"/>
              <w:jc w:val="left"/>
            </w:pPr>
            <w:r>
              <w:t xml:space="preserve">Direct Process Emissions (Carbonates / Reagents)</w:t>
            </w:r>
          </w:p>
        </w:tc>
        <w:tc>
          <w:tcPr/>
          <w:p>
            <w:pPr>
              <w:pStyle w:val="Compact"/>
              <w:jc w:val="left"/>
            </w:pPr>
            <w:r>
              <w:t xml:space="preserve">85.00 kg active</w:t>
            </w:r>
          </w:p>
        </w:tc>
        <w:tc>
          <w:tcPr/>
          <w:p>
            <w:pPr>
              <w:pStyle w:val="Compact"/>
              <w:jc w:val="left"/>
            </w:pPr>
            <w:r>
              <w:t xml:space="preserve">1.000 kg CO</w:t>
            </w:r>
            <w:r>
              <w:rPr>
                <w:vertAlign w:val="subscript"/>
              </w:rPr>
              <w:t xml:space="preserve">2</w:t>
            </w:r>
            <w:r>
              <w:t xml:space="preserve">e / kg</w:t>
            </w:r>
          </w:p>
        </w:tc>
        <w:tc>
          <w:tcPr/>
          <w:p>
            <w:pPr>
              <w:pStyle w:val="Compact"/>
              <w:jc w:val="left"/>
            </w:pPr>
            <w:r>
              <w:t xml:space="preserve">Mass Balance</w:t>
            </w:r>
          </w:p>
        </w:tc>
        <w:tc>
          <w:tcPr/>
          <w:p>
            <w:pPr>
              <w:pStyle w:val="Compact"/>
              <w:jc w:val="left"/>
            </w:pPr>
            <w:r>
              <w:t xml:space="preserve">85.00</w:t>
            </w:r>
          </w:p>
        </w:tc>
        <w:tc>
          <w:tcPr/>
          <w:p>
            <w:pPr>
              <w:pStyle w:val="Compact"/>
              <w:jc w:val="left"/>
            </w:pPr>
            <w:r>
              <w:t xml:space="preserve">1.98%</w:t>
            </w:r>
          </w:p>
        </w:tc>
      </w:tr>
      <w:tr>
        <w:tc>
          <w:tcPr>
            <w:gridSpan w:val="5"/>
          </w:tcPr>
          <w:p>
            <w:pPr>
              <w:pStyle w:val="Compact"/>
              <w:jc w:val="left"/>
            </w:pPr>
            <w:r>
              <w:t xml:space="preserve">Subtotal Scope 1 (Direct Emissions)</w:t>
            </w:r>
          </w:p>
        </w:tc>
        <w:tc>
          <w:tcPr/>
          <w:p>
            <w:pPr>
              <w:pStyle w:val="Compact"/>
              <w:jc w:val="left"/>
            </w:pPr>
            <w:r>
              <w:t xml:space="preserve">786.25</w:t>
            </w:r>
          </w:p>
        </w:tc>
        <w:tc>
          <w:tcPr/>
          <w:p>
            <w:pPr>
              <w:pStyle w:val="Compact"/>
              <w:jc w:val="left"/>
            </w:pPr>
            <w:r>
              <w:t xml:space="preserve">18.34%</w:t>
            </w:r>
          </w:p>
        </w:tc>
      </w:tr>
      <w:tr>
        <w:tc>
          <w:tcPr/>
          <w:p>
            <w:pPr>
              <w:pStyle w:val="Compact"/>
              <w:jc w:val="left"/>
            </w:pPr>
            <w:r>
              <w:t xml:space="preserve">Scope 2</w:t>
            </w:r>
          </w:p>
        </w:tc>
        <w:tc>
          <w:tcPr/>
          <w:p>
            <w:pPr>
              <w:pStyle w:val="Compact"/>
              <w:jc w:val="left"/>
            </w:pPr>
            <w:r>
              <w:t xml:space="preserve">Purchased Electricity (China Regional Grid)</w:t>
            </w:r>
          </w:p>
        </w:tc>
        <w:tc>
          <w:tcPr/>
          <w:p>
            <w:pPr>
              <w:pStyle w:val="Compact"/>
              <w:jc w:val="left"/>
            </w:pPr>
            <w:r>
              <w:t xml:space="preserve">1,850.00 kWh</w:t>
            </w:r>
          </w:p>
        </w:tc>
        <w:tc>
          <w:tcPr/>
          <w:p>
            <w:pPr>
              <w:pStyle w:val="Compact"/>
              <w:jc w:val="left"/>
            </w:pPr>
            <w:r>
              <w:t xml:space="preserve">0.570 kg CO</w:t>
            </w:r>
            <w:r>
              <w:rPr>
                <w:vertAlign w:val="subscript"/>
              </w:rPr>
              <w:t xml:space="preserve">2</w:t>
            </w:r>
            <w:r>
              <w:t xml:space="preserve">e / kWh</w:t>
            </w:r>
          </w:p>
        </w:tc>
        <w:tc>
          <w:tcPr/>
          <w:p>
            <w:pPr>
              <w:pStyle w:val="Compact"/>
              <w:jc w:val="left"/>
            </w:pPr>
            <w:r>
              <w:t xml:space="preserve">IEA 2025/2026</w:t>
            </w:r>
          </w:p>
        </w:tc>
        <w:tc>
          <w:tcPr/>
          <w:p>
            <w:pPr>
              <w:pStyle w:val="Compact"/>
              <w:jc w:val="left"/>
            </w:pPr>
            <w:r>
              <w:t xml:space="preserve">1,054.50</w:t>
            </w:r>
          </w:p>
        </w:tc>
        <w:tc>
          <w:tcPr/>
          <w:p>
            <w:pPr>
              <w:pStyle w:val="Compact"/>
              <w:jc w:val="left"/>
            </w:pPr>
            <w:r>
              <w:t xml:space="preserve">24.60%</w:t>
            </w:r>
          </w:p>
        </w:tc>
      </w:tr>
      <w:tr>
        <w:tc>
          <w:tcPr/>
          <w:p>
            <w:pPr>
              <w:pStyle w:val="Compact"/>
              <w:jc w:val="left"/>
            </w:pPr>
            <w:r>
              <w:t xml:space="preserve">Scope 2</w:t>
            </w:r>
          </w:p>
        </w:tc>
        <w:tc>
          <w:tcPr/>
          <w:p>
            <w:pPr>
              <w:pStyle w:val="Compact"/>
              <w:jc w:val="left"/>
            </w:pPr>
            <w:r>
              <w:t xml:space="preserve">Purchased Industrial Steam (Coal Boiler)</w:t>
            </w:r>
          </w:p>
        </w:tc>
        <w:tc>
          <w:tcPr/>
          <w:p>
            <w:pPr>
              <w:pStyle w:val="Compact"/>
              <w:jc w:val="left"/>
            </w:pPr>
            <w:r>
              <w:t xml:space="preserve">4.63 GJ</w:t>
            </w:r>
          </w:p>
        </w:tc>
        <w:tc>
          <w:tcPr/>
          <w:p>
            <w:pPr>
              <w:pStyle w:val="Compact"/>
              <w:jc w:val="left"/>
            </w:pPr>
            <w:r>
              <w:t xml:space="preserve">82.00 kg CO</w:t>
            </w:r>
            <w:r>
              <w:rPr>
                <w:vertAlign w:val="subscript"/>
              </w:rPr>
              <w:t xml:space="preserve">2</w:t>
            </w:r>
            <w:r>
              <w:t xml:space="preserve">e / GJ</w:t>
            </w:r>
          </w:p>
        </w:tc>
        <w:tc>
          <w:tcPr/>
          <w:p>
            <w:pPr>
              <w:pStyle w:val="Compact"/>
              <w:jc w:val="left"/>
            </w:pPr>
            <w:r>
              <w:t xml:space="preserve">Ecoinvent 3.10</w:t>
            </w:r>
          </w:p>
        </w:tc>
        <w:tc>
          <w:tcPr/>
          <w:p>
            <w:pPr>
              <w:pStyle w:val="Compact"/>
              <w:jc w:val="left"/>
            </w:pPr>
            <w:r>
              <w:t xml:space="preserve">379.55</w:t>
            </w:r>
          </w:p>
        </w:tc>
        <w:tc>
          <w:tcPr/>
          <w:p>
            <w:pPr>
              <w:pStyle w:val="Compact"/>
              <w:jc w:val="left"/>
            </w:pPr>
            <w:r>
              <w:t xml:space="preserve">8.85%</w:t>
            </w:r>
          </w:p>
        </w:tc>
      </w:tr>
      <w:tr>
        <w:tc>
          <w:tcPr>
            <w:gridSpan w:val="5"/>
          </w:tcPr>
          <w:p>
            <w:pPr>
              <w:pStyle w:val="Compact"/>
              <w:jc w:val="left"/>
            </w:pPr>
            <w:r>
              <w:t xml:space="preserve">Subtotal Scope 2 (Indirect Energy)</w:t>
            </w:r>
          </w:p>
        </w:tc>
        <w:tc>
          <w:tcPr/>
          <w:p>
            <w:pPr>
              <w:pStyle w:val="Compact"/>
              <w:jc w:val="left"/>
            </w:pPr>
            <w:r>
              <w:t xml:space="preserve">1,434.05</w:t>
            </w:r>
          </w:p>
        </w:tc>
        <w:tc>
          <w:tcPr/>
          <w:p>
            <w:pPr>
              <w:pStyle w:val="Compact"/>
              <w:jc w:val="left"/>
            </w:pPr>
            <w:r>
              <w:t xml:space="preserve">33.45%</w:t>
            </w:r>
          </w:p>
        </w:tc>
      </w:tr>
      <w:tr>
        <w:tc>
          <w:tcPr/>
          <w:p>
            <w:pPr>
              <w:pStyle w:val="Compact"/>
              <w:jc w:val="left"/>
            </w:pPr>
            <w:r>
              <w:t xml:space="preserve">Scope 3</w:t>
            </w:r>
          </w:p>
        </w:tc>
        <w:tc>
          <w:tcPr/>
          <w:p>
            <w:pPr>
              <w:pStyle w:val="Compact"/>
              <w:jc w:val="left"/>
            </w:pPr>
            <w:r>
              <w:t xml:space="preserve">Upstream Ilmenite Concentrate (Mining &amp; Milling)</w:t>
            </w:r>
          </w:p>
        </w:tc>
        <w:tc>
          <w:tcPr/>
          <w:p>
            <w:pPr>
              <w:pStyle w:val="Compact"/>
              <w:jc w:val="left"/>
            </w:pPr>
            <w:r>
              <w:t xml:space="preserve">2,300.00 kg</w:t>
            </w:r>
          </w:p>
        </w:tc>
        <w:tc>
          <w:tcPr/>
          <w:p>
            <w:pPr>
              <w:pStyle w:val="Compact"/>
              <w:jc w:val="left"/>
            </w:pPr>
            <w:r>
              <w:t xml:space="preserve">0.180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414.00</w:t>
            </w:r>
          </w:p>
        </w:tc>
        <w:tc>
          <w:tcPr/>
          <w:p>
            <w:pPr>
              <w:pStyle w:val="Compact"/>
              <w:jc w:val="left"/>
            </w:pPr>
            <w:r>
              <w:t xml:space="preserve">9.66%</w:t>
            </w:r>
          </w:p>
        </w:tc>
      </w:tr>
      <w:tr>
        <w:tc>
          <w:tcPr/>
          <w:p>
            <w:pPr>
              <w:pStyle w:val="Compact"/>
              <w:jc w:val="left"/>
            </w:pPr>
            <w:r>
              <w:t xml:space="preserve">Scope 3</w:t>
            </w:r>
          </w:p>
        </w:tc>
        <w:tc>
          <w:tcPr/>
          <w:p>
            <w:pPr>
              <w:pStyle w:val="Compact"/>
              <w:jc w:val="left"/>
            </w:pPr>
            <w:r>
              <w:t xml:space="preserve">Sulfuric Acid (98% H</w:t>
            </w:r>
            <w:r>
              <w:rPr>
                <w:vertAlign w:val="subscript"/>
              </w:rPr>
              <w:t xml:space="preserve">2</w:t>
            </w:r>
            <w:r>
              <w:t xml:space="preserve">SO</w:t>
            </w:r>
            <w:r>
              <w:rPr>
                <w:vertAlign w:val="subscript"/>
              </w:rPr>
              <w:t xml:space="preserve">4</w:t>
            </w:r>
            <w:r>
              <w:t xml:space="preserve">, Smelter Byproduct)</w:t>
            </w:r>
          </w:p>
        </w:tc>
        <w:tc>
          <w:tcPr/>
          <w:p>
            <w:pPr>
              <w:pStyle w:val="Compact"/>
              <w:jc w:val="left"/>
            </w:pPr>
            <w:r>
              <w:t xml:space="preserve">3,200.00 kg</w:t>
            </w:r>
          </w:p>
        </w:tc>
        <w:tc>
          <w:tcPr/>
          <w:p>
            <w:pPr>
              <w:pStyle w:val="Compact"/>
              <w:jc w:val="left"/>
            </w:pPr>
            <w:r>
              <w:t xml:space="preserve">0.110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352.00</w:t>
            </w:r>
          </w:p>
        </w:tc>
        <w:tc>
          <w:tcPr/>
          <w:p>
            <w:pPr>
              <w:pStyle w:val="Compact"/>
              <w:jc w:val="left"/>
            </w:pPr>
            <w:r>
              <w:t xml:space="preserve">8.21%</w:t>
            </w:r>
          </w:p>
        </w:tc>
      </w:tr>
      <w:tr>
        <w:tc>
          <w:tcPr/>
          <w:p>
            <w:pPr>
              <w:pStyle w:val="Compact"/>
              <w:jc w:val="left"/>
            </w:pPr>
            <w:r>
              <w:t xml:space="preserve">Scope 3</w:t>
            </w:r>
          </w:p>
        </w:tc>
        <w:tc>
          <w:tcPr/>
          <w:p>
            <w:pPr>
              <w:pStyle w:val="Compact"/>
              <w:jc w:val="left"/>
            </w:pPr>
            <w:r>
              <w:t xml:space="preserve">Inbound Transoceanic Sea Transport (Ore)</w:t>
            </w:r>
          </w:p>
        </w:tc>
        <w:tc>
          <w:tcPr/>
          <w:p>
            <w:pPr>
              <w:pStyle w:val="Compact"/>
              <w:jc w:val="left"/>
            </w:pPr>
            <w:r>
              <w:t xml:space="preserve">23,000.00 t·km</w:t>
            </w:r>
          </w:p>
        </w:tc>
        <w:tc>
          <w:tcPr/>
          <w:p>
            <w:pPr>
              <w:pStyle w:val="Compact"/>
              <w:jc w:val="left"/>
            </w:pPr>
            <w:r>
              <w:t xml:space="preserve">0.0085 kg CO</w:t>
            </w:r>
            <w:r>
              <w:rPr>
                <w:vertAlign w:val="subscript"/>
              </w:rPr>
              <w:t xml:space="preserve">2</w:t>
            </w:r>
            <w:r>
              <w:t xml:space="preserve">e / t·km</w:t>
            </w:r>
          </w:p>
        </w:tc>
        <w:tc>
          <w:tcPr/>
          <w:p>
            <w:pPr>
              <w:pStyle w:val="Compact"/>
              <w:jc w:val="left"/>
            </w:pPr>
            <w:r>
              <w:t xml:space="preserve">DEFRA Maritime</w:t>
            </w:r>
          </w:p>
        </w:tc>
        <w:tc>
          <w:tcPr/>
          <w:p>
            <w:pPr>
              <w:pStyle w:val="Compact"/>
              <w:jc w:val="left"/>
            </w:pPr>
            <w:r>
              <w:t xml:space="preserve">195.50</w:t>
            </w:r>
          </w:p>
        </w:tc>
        <w:tc>
          <w:tcPr/>
          <w:p>
            <w:pPr>
              <w:pStyle w:val="Compact"/>
              <w:jc w:val="left"/>
            </w:pPr>
            <w:r>
              <w:t xml:space="preserve">4.56%</w:t>
            </w:r>
          </w:p>
        </w:tc>
      </w:tr>
      <w:tr>
        <w:tc>
          <w:tcPr/>
          <w:p>
            <w:pPr>
              <w:pStyle w:val="Compact"/>
              <w:jc w:val="left"/>
            </w:pPr>
            <w:r>
              <w:t xml:space="preserve">Scope 3</w:t>
            </w:r>
          </w:p>
        </w:tc>
        <w:tc>
          <w:tcPr/>
          <w:p>
            <w:pPr>
              <w:pStyle w:val="Compact"/>
              <w:jc w:val="left"/>
            </w:pPr>
            <w:r>
              <w:t xml:space="preserve">Surface Treatment Chemicals (SiO</w:t>
            </w:r>
            <w:r>
              <w:rPr>
                <w:vertAlign w:val="subscript"/>
              </w:rPr>
              <w:t xml:space="preserve">2</w:t>
            </w:r>
            <w:r>
              <w:t xml:space="preserve">, Al</w:t>
            </w:r>
            <w:r>
              <w:rPr>
                <w:vertAlign w:val="subscript"/>
              </w:rPr>
              <w:t xml:space="preserve">2</w:t>
            </w:r>
            <w:r>
              <w:t xml:space="preserve">O</w:t>
            </w:r>
            <w:r>
              <w:rPr>
                <w:vertAlign w:val="subscript"/>
              </w:rPr>
              <w:t xml:space="preserve">3</w:t>
            </w:r>
            <w:r>
              <w:t xml:space="preserve">)</w:t>
            </w:r>
          </w:p>
        </w:tc>
        <w:tc>
          <w:tcPr/>
          <w:p>
            <w:pPr>
              <w:pStyle w:val="Compact"/>
              <w:jc w:val="left"/>
            </w:pPr>
            <w:r>
              <w:t xml:space="preserve">50.00 kg</w:t>
            </w:r>
          </w:p>
        </w:tc>
        <w:tc>
          <w:tcPr/>
          <w:p>
            <w:pPr>
              <w:pStyle w:val="Compact"/>
              <w:jc w:val="left"/>
            </w:pPr>
            <w:r>
              <w:t xml:space="preserve">1.600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80.00</w:t>
            </w:r>
          </w:p>
        </w:tc>
        <w:tc>
          <w:tcPr/>
          <w:p>
            <w:pPr>
              <w:pStyle w:val="Compact"/>
              <w:jc w:val="left"/>
            </w:pPr>
            <w:r>
              <w:t xml:space="preserve">1.87%</w:t>
            </w:r>
          </w:p>
        </w:tc>
      </w:tr>
      <w:tr>
        <w:tc>
          <w:tcPr/>
          <w:p>
            <w:pPr>
              <w:pStyle w:val="Compact"/>
              <w:jc w:val="left"/>
            </w:pPr>
            <w:r>
              <w:t xml:space="preserve">Scope 3</w:t>
            </w:r>
          </w:p>
        </w:tc>
        <w:tc>
          <w:tcPr/>
          <w:p>
            <w:pPr>
              <w:pStyle w:val="Compact"/>
              <w:jc w:val="left"/>
            </w:pPr>
            <w:r>
              <w:t xml:space="preserve">Upstream Fuel &amp; Energy Activities (FERA / WTT)</w:t>
            </w:r>
          </w:p>
        </w:tc>
        <w:tc>
          <w:tcPr/>
          <w:p>
            <w:pPr>
              <w:pStyle w:val="Compact"/>
              <w:jc w:val="left"/>
            </w:pPr>
            <w:r>
              <w:t xml:space="preserve">1,850 kWh + 12.5 GJ</w:t>
            </w:r>
          </w:p>
        </w:tc>
        <w:tc>
          <w:tcPr/>
          <w:p>
            <w:pPr>
              <w:pStyle w:val="Compact"/>
              <w:jc w:val="left"/>
            </w:pPr>
            <w:r>
              <w:t xml:space="preserve">Composite WTT Factor</w:t>
            </w:r>
          </w:p>
        </w:tc>
        <w:tc>
          <w:tcPr/>
          <w:p>
            <w:pPr>
              <w:pStyle w:val="Compact"/>
              <w:jc w:val="left"/>
            </w:pPr>
            <w:r>
              <w:t xml:space="preserve">DEFRA / IEA</w:t>
            </w:r>
          </w:p>
        </w:tc>
        <w:tc>
          <w:tcPr/>
          <w:p>
            <w:pPr>
              <w:pStyle w:val="Compact"/>
              <w:jc w:val="left"/>
            </w:pPr>
            <w:r>
              <w:t xml:space="preserve">315.50</w:t>
            </w:r>
          </w:p>
        </w:tc>
        <w:tc>
          <w:tcPr/>
          <w:p>
            <w:pPr>
              <w:pStyle w:val="Compact"/>
              <w:jc w:val="left"/>
            </w:pPr>
            <w:r>
              <w:t xml:space="preserve">7.36%</w:t>
            </w:r>
          </w:p>
        </w:tc>
      </w:tr>
      <w:tr>
        <w:tc>
          <w:tcPr/>
          <w:p>
            <w:pPr>
              <w:pStyle w:val="Compact"/>
              <w:jc w:val="left"/>
            </w:pPr>
            <w:r>
              <w:t xml:space="preserve">Scope 3</w:t>
            </w:r>
          </w:p>
        </w:tc>
        <w:tc>
          <w:tcPr/>
          <w:p>
            <w:pPr>
              <w:pStyle w:val="Compact"/>
              <w:jc w:val="left"/>
            </w:pPr>
            <w:r>
              <w:t xml:space="preserve">Chemical Reagents &amp; Auxiliary Additives</w:t>
            </w:r>
          </w:p>
        </w:tc>
        <w:tc>
          <w:tcPr/>
          <w:p>
            <w:pPr>
              <w:pStyle w:val="Compact"/>
              <w:jc w:val="left"/>
            </w:pPr>
            <w:r>
              <w:t xml:space="preserve">150.00 kg</w:t>
            </w:r>
          </w:p>
        </w:tc>
        <w:tc>
          <w:tcPr/>
          <w:p>
            <w:pPr>
              <w:pStyle w:val="Compact"/>
              <w:jc w:val="left"/>
            </w:pPr>
            <w:r>
              <w:t xml:space="preserve">0.450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67.50</w:t>
            </w:r>
          </w:p>
        </w:tc>
        <w:tc>
          <w:tcPr/>
          <w:p>
            <w:pPr>
              <w:pStyle w:val="Compact"/>
              <w:jc w:val="left"/>
            </w:pPr>
            <w:r>
              <w:t xml:space="preserve">1.57%</w:t>
            </w:r>
          </w:p>
        </w:tc>
      </w:tr>
      <w:tr>
        <w:tc>
          <w:tcPr/>
          <w:p>
            <w:pPr>
              <w:pStyle w:val="Compact"/>
              <w:jc w:val="left"/>
            </w:pPr>
            <w:r>
              <w:t xml:space="preserve">Scope 3</w:t>
            </w:r>
          </w:p>
        </w:tc>
        <w:tc>
          <w:tcPr/>
          <w:p>
            <w:pPr>
              <w:pStyle w:val="Compact"/>
              <w:jc w:val="left"/>
            </w:pPr>
            <w:r>
              <w:t xml:space="preserve">Domestic Inbound Rail / Feeder Barge Transport</w:t>
            </w:r>
          </w:p>
        </w:tc>
        <w:tc>
          <w:tcPr/>
          <w:p>
            <w:pPr>
              <w:pStyle w:val="Compact"/>
              <w:jc w:val="left"/>
            </w:pPr>
            <w:r>
              <w:t xml:space="preserve">920.00 t·km</w:t>
            </w:r>
          </w:p>
        </w:tc>
        <w:tc>
          <w:tcPr/>
          <w:p>
            <w:pPr>
              <w:pStyle w:val="Compact"/>
              <w:jc w:val="left"/>
            </w:pPr>
            <w:r>
              <w:t xml:space="preserve">0.0489 kg CO</w:t>
            </w:r>
            <w:r>
              <w:rPr>
                <w:vertAlign w:val="subscript"/>
              </w:rPr>
              <w:t xml:space="preserve">2</w:t>
            </w:r>
            <w:r>
              <w:t xml:space="preserve">e / t·km</w:t>
            </w:r>
          </w:p>
        </w:tc>
        <w:tc>
          <w:tcPr/>
          <w:p>
            <w:pPr>
              <w:pStyle w:val="Compact"/>
              <w:jc w:val="left"/>
            </w:pPr>
            <w:r>
              <w:t xml:space="preserve">DEFRA Rail/Barge</w:t>
            </w:r>
          </w:p>
        </w:tc>
        <w:tc>
          <w:tcPr/>
          <w:p>
            <w:pPr>
              <w:pStyle w:val="Compact"/>
              <w:jc w:val="left"/>
            </w:pPr>
            <w:r>
              <w:t xml:space="preserve">45.00</w:t>
            </w:r>
          </w:p>
        </w:tc>
        <w:tc>
          <w:tcPr/>
          <w:p>
            <w:pPr>
              <w:pStyle w:val="Compact"/>
              <w:jc w:val="left"/>
            </w:pPr>
            <w:r>
              <w:t xml:space="preserve">1.05%</w:t>
            </w:r>
          </w:p>
        </w:tc>
      </w:tr>
      <w:tr>
        <w:tc>
          <w:tcPr/>
          <w:p>
            <w:pPr>
              <w:pStyle w:val="Compact"/>
              <w:jc w:val="left"/>
            </w:pPr>
            <w:r>
              <w:t xml:space="preserve">Scope 3</w:t>
            </w:r>
          </w:p>
        </w:tc>
        <w:tc>
          <w:tcPr/>
          <w:p>
            <w:pPr>
              <w:pStyle w:val="Compact"/>
              <w:jc w:val="left"/>
            </w:pPr>
            <w:r>
              <w:t xml:space="preserve">Waste Treatment (Acid Sludge &amp; Gypsum Disposal)</w:t>
            </w:r>
          </w:p>
        </w:tc>
        <w:tc>
          <w:tcPr/>
          <w:p>
            <w:pPr>
              <w:pStyle w:val="Compact"/>
              <w:jc w:val="left"/>
            </w:pPr>
            <w:r>
              <w:t xml:space="preserve">1,800.00 kg waste</w:t>
            </w:r>
          </w:p>
        </w:tc>
        <w:tc>
          <w:tcPr/>
          <w:p>
            <w:pPr>
              <w:pStyle w:val="Compact"/>
              <w:jc w:val="left"/>
            </w:pPr>
            <w:r>
              <w:t xml:space="preserve">0.072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129.60</w:t>
            </w:r>
          </w:p>
        </w:tc>
        <w:tc>
          <w:tcPr/>
          <w:p>
            <w:pPr>
              <w:pStyle w:val="Compact"/>
              <w:jc w:val="left"/>
            </w:pPr>
            <w:r>
              <w:t xml:space="preserve">3.02%</w:t>
            </w:r>
          </w:p>
        </w:tc>
      </w:tr>
      <w:tr>
        <w:tc>
          <w:tcPr/>
          <w:p>
            <w:pPr>
              <w:pStyle w:val="Compact"/>
              <w:jc w:val="left"/>
            </w:pPr>
            <w:r>
              <w:t xml:space="preserve">Scope 3</w:t>
            </w:r>
          </w:p>
        </w:tc>
        <w:tc>
          <w:tcPr/>
          <w:p>
            <w:pPr>
              <w:pStyle w:val="Compact"/>
              <w:jc w:val="left"/>
            </w:pPr>
            <w:r>
              <w:t xml:space="preserve">Multi-Wall Bagging &amp; Pallet Packaging</w:t>
            </w:r>
          </w:p>
        </w:tc>
        <w:tc>
          <w:tcPr/>
          <w:p>
            <w:pPr>
              <w:pStyle w:val="Compact"/>
              <w:jc w:val="left"/>
            </w:pPr>
            <w:r>
              <w:t xml:space="preserve">20.00 kg</w:t>
            </w:r>
          </w:p>
        </w:tc>
        <w:tc>
          <w:tcPr/>
          <w:p>
            <w:pPr>
              <w:pStyle w:val="Compact"/>
              <w:jc w:val="left"/>
            </w:pPr>
            <w:r>
              <w:t xml:space="preserve">1.200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24.00</w:t>
            </w:r>
          </w:p>
        </w:tc>
        <w:tc>
          <w:tcPr/>
          <w:p>
            <w:pPr>
              <w:pStyle w:val="Compact"/>
              <w:jc w:val="left"/>
            </w:pPr>
            <w:r>
              <w:t xml:space="preserve">0.56%</w:t>
            </w:r>
          </w:p>
        </w:tc>
      </w:tr>
      <w:tr>
        <w:tc>
          <w:tcPr/>
          <w:p>
            <w:pPr>
              <w:pStyle w:val="Compact"/>
              <w:jc w:val="left"/>
            </w:pPr>
            <w:r>
              <w:t xml:space="preserve">Scope 3</w:t>
            </w:r>
          </w:p>
        </w:tc>
        <w:tc>
          <w:tcPr/>
          <w:p>
            <w:pPr>
              <w:pStyle w:val="Compact"/>
              <w:jc w:val="left"/>
            </w:pPr>
            <w:r>
              <w:t xml:space="preserve">Land Sector &amp; Removals: dLUC (Ore Extraction)</w:t>
            </w:r>
          </w:p>
        </w:tc>
        <w:tc>
          <w:tcPr/>
          <w:p>
            <w:pPr>
              <w:pStyle w:val="Compact"/>
              <w:jc w:val="left"/>
            </w:pPr>
            <w:r>
              <w:t xml:space="preserve">2,300.00 kg ore</w:t>
            </w:r>
          </w:p>
        </w:tc>
        <w:tc>
          <w:tcPr/>
          <w:p>
            <w:pPr>
              <w:pStyle w:val="Compact"/>
              <w:jc w:val="left"/>
            </w:pPr>
            <w:r>
              <w:t xml:space="preserve">0.01826 kg CO</w:t>
            </w:r>
            <w:r>
              <w:rPr>
                <w:vertAlign w:val="subscript"/>
              </w:rPr>
              <w:t xml:space="preserve">2</w:t>
            </w:r>
            <w:r>
              <w:t xml:space="preserve">e / kg</w:t>
            </w:r>
          </w:p>
        </w:tc>
        <w:tc>
          <w:tcPr/>
          <w:p>
            <w:pPr>
              <w:pStyle w:val="Compact"/>
              <w:jc w:val="left"/>
            </w:pPr>
            <w:r>
              <w:t xml:space="preserve">2026 LSR Guidance</w:t>
            </w:r>
          </w:p>
        </w:tc>
        <w:tc>
          <w:tcPr/>
          <w:p>
            <w:pPr>
              <w:pStyle w:val="Compact"/>
              <w:jc w:val="left"/>
            </w:pPr>
            <w:r>
              <w:t xml:space="preserve">42.00</w:t>
            </w:r>
          </w:p>
        </w:tc>
        <w:tc>
          <w:tcPr/>
          <w:p>
            <w:pPr>
              <w:pStyle w:val="Compact"/>
              <w:jc w:val="left"/>
            </w:pPr>
            <w:r>
              <w:t xml:space="preserve">0.98%</w:t>
            </w:r>
          </w:p>
        </w:tc>
      </w:tr>
      <w:tr>
        <w:tc>
          <w:tcPr/>
          <w:p>
            <w:pPr>
              <w:pStyle w:val="Compact"/>
              <w:jc w:val="left"/>
            </w:pPr>
            <w:r>
              <w:t xml:space="preserve">Scope 3</w:t>
            </w:r>
          </w:p>
        </w:tc>
        <w:tc>
          <w:tcPr/>
          <w:p>
            <w:pPr>
              <w:pStyle w:val="Compact"/>
              <w:jc w:val="left"/>
            </w:pPr>
            <w:r>
              <w:t xml:space="preserve">Land Sector &amp; Removals: Biogenic Carbon Removals</w:t>
            </w:r>
          </w:p>
        </w:tc>
        <w:tc>
          <w:tcPr/>
          <w:p>
            <w:pPr>
              <w:pStyle w:val="Compact"/>
              <w:jc w:val="left"/>
            </w:pPr>
            <w:r>
              <w:t xml:space="preserve">1.00 t TiO</w:t>
            </w:r>
            <w:r>
              <w:rPr>
                <w:vertAlign w:val="subscript"/>
              </w:rPr>
              <w:t xml:space="preserve">2</w:t>
            </w:r>
          </w:p>
        </w:tc>
        <w:tc>
          <w:tcPr/>
          <w:p>
            <w:pPr>
              <w:pStyle w:val="Compact"/>
              <w:jc w:val="left"/>
            </w:pPr>
            <w:r>
              <w:t xml:space="preserve">0.000 kg CO</w:t>
            </w:r>
            <w:r>
              <w:rPr>
                <w:vertAlign w:val="subscript"/>
              </w:rPr>
              <w:t xml:space="preserve">2</w:t>
            </w:r>
            <w:r>
              <w:t xml:space="preserve">e / t</w:t>
            </w:r>
          </w:p>
        </w:tc>
        <w:tc>
          <w:tcPr/>
          <w:p>
            <w:pPr>
              <w:pStyle w:val="Compact"/>
              <w:jc w:val="left"/>
            </w:pPr>
            <w:r>
              <w:t xml:space="preserve">2026 LSR Guidance</w:t>
            </w:r>
          </w:p>
        </w:tc>
        <w:tc>
          <w:tcPr/>
          <w:p>
            <w:pPr>
              <w:pStyle w:val="Compact"/>
              <w:jc w:val="left"/>
            </w:pPr>
            <w:r>
              <w:t xml:space="preserve">0.00</w:t>
            </w:r>
          </w:p>
        </w:tc>
        <w:tc>
          <w:tcPr/>
          <w:p>
            <w:pPr>
              <w:pStyle w:val="Compact"/>
              <w:jc w:val="left"/>
            </w:pPr>
            <w:r>
              <w:t xml:space="preserve">0.00%</w:t>
            </w:r>
          </w:p>
        </w:tc>
      </w:tr>
      <w:tr>
        <w:tc>
          <w:tcPr>
            <w:gridSpan w:val="5"/>
          </w:tcPr>
          <w:p>
            <w:pPr>
              <w:pStyle w:val="Compact"/>
              <w:jc w:val="left"/>
            </w:pPr>
            <w:r>
              <w:t xml:space="preserve">Subtotal Scope 3 (Upstream Supply Chain)</w:t>
            </w:r>
          </w:p>
        </w:tc>
        <w:tc>
          <w:tcPr/>
          <w:p>
            <w:pPr>
              <w:pStyle w:val="Compact"/>
              <w:jc w:val="left"/>
            </w:pPr>
            <w:r>
              <w:t xml:space="preserve">1,665.10</w:t>
            </w:r>
          </w:p>
        </w:tc>
        <w:tc>
          <w:tcPr/>
          <w:p>
            <w:pPr>
              <w:pStyle w:val="Compact"/>
              <w:jc w:val="left"/>
            </w:pPr>
            <w:r>
              <w:t xml:space="preserve">38.85%</w:t>
            </w:r>
          </w:p>
        </w:tc>
      </w:tr>
      <w:tr>
        <w:tc>
          <w:tcPr>
            <w:gridSpan w:val="5"/>
          </w:tcPr>
          <w:p>
            <w:pPr>
              <w:pStyle w:val="Compact"/>
              <w:jc w:val="left"/>
            </w:pPr>
            <w:r>
              <w:t xml:space="preserve">TOTAL PRODUCT CARBON FOOTPRINT (Scope 1 + 2 + 3)</w:t>
            </w:r>
          </w:p>
        </w:tc>
        <w:tc>
          <w:tcPr/>
          <w:p>
            <w:pPr>
              <w:pStyle w:val="Compact"/>
              <w:jc w:val="left"/>
            </w:pPr>
            <w:r>
              <w:t xml:space="preserve">4,286.30</w:t>
            </w:r>
          </w:p>
        </w:tc>
        <w:tc>
          <w:tcPr/>
          <w:p>
            <w:pPr>
              <w:pStyle w:val="Compact"/>
              <w:jc w:val="left"/>
            </w:pPr>
            <w:r>
              <w:t xml:space="preserve">100.00%</w:t>
            </w:r>
          </w:p>
        </w:tc>
      </w:tr>
    </w:tbl>
    <w:p>
      <w:r>
        <w:pict>
          <v:rect style="width:0;height:1.5pt" o:hralign="center" o:hrstd="t" o:hr="t"/>
        </w:pict>
      </w:r>
    </w:p>
    <w:bookmarkEnd w:id="28"/>
    <w:bookmarkEnd w:id="29"/>
    <w:bookmarkStart w:id="33" w:name="Xd827005f9b98aeff97506851dca53c79936a7c9"/>
    <w:p>
      <w:pPr>
        <w:pStyle w:val="Heading1"/>
      </w:pPr>
      <w:r>
        <w:t xml:space="preserve">Step 5: Review, Hotspot Analysis &amp; Data Quality</w:t>
      </w:r>
    </w:p>
    <w:bookmarkStart w:id="30" w:name="hotspot-identification"/>
    <w:p>
      <w:pPr>
        <w:pStyle w:val="Heading2"/>
      </w:pPr>
      <w:r>
        <w:t xml:space="preserve">5.1 Hotspot Identification</w:t>
      </w:r>
    </w:p>
    <w:p>
      <w:pPr>
        <w:pStyle w:val="FirstParagraph"/>
      </w:pPr>
      <w:r>
        <w:t xml:space="preserve">Pareto analysis identifies three core drivers contributing over 72% of the cumulative carbon footprint:</w:t>
      </w:r>
    </w:p>
    <w:p>
      <w:pPr>
        <w:numPr>
          <w:ilvl w:val="0"/>
          <w:numId w:val="1003"/>
        </w:numPr>
        <w:pStyle w:val="Compact"/>
      </w:pPr>
      <w:r>
        <w:rPr>
          <w:bCs/>
          <w:b/>
        </w:rPr>
        <w:t xml:space="preserve">Grid Electricity Consumption (24.60%):</w:t>
      </w:r>
      <w:r>
        <w:t xml:space="preserve"> </w:t>
      </w:r>
      <w:r>
        <w:t xml:space="preserve">Operating energy-intensive fluid energy jet mills (micronization), mechanical air separation, and high-volume slurry pumping under China’s thermal-heavy grid mix generates 1,054.50 kg CO</w:t>
      </w:r>
      <w:r>
        <w:rPr>
          <w:vertAlign w:val="subscript"/>
        </w:rPr>
        <w:t xml:space="preserve">2</w:t>
      </w:r>
      <w:r>
        <w:t xml:space="preserve">e.</w:t>
      </w:r>
    </w:p>
    <w:p>
      <w:pPr>
        <w:numPr>
          <w:ilvl w:val="0"/>
          <w:numId w:val="1003"/>
        </w:numPr>
        <w:pStyle w:val="Compact"/>
      </w:pPr>
      <w:r>
        <w:rPr>
          <w:bCs/>
          <w:b/>
        </w:rPr>
        <w:t xml:space="preserve">Thermal Calcination Kiln Operations (16.36%):</w:t>
      </w:r>
      <w:r>
        <w:t xml:space="preserve"> </w:t>
      </w:r>
      <w:r>
        <w:t xml:space="preserve">Dehydrating hydrous titanium dioxide pulp and inducing crystallographic rearrangement from amorphous pulp to the rutile/anatase crystal phase requires sustained kiln temperatures of 850°C–1,000°C, consuming 12.5 GJ of natural gas per ton.</w:t>
      </w:r>
    </w:p>
    <w:p>
      <w:pPr>
        <w:numPr>
          <w:ilvl w:val="0"/>
          <w:numId w:val="1003"/>
        </w:numPr>
        <w:pStyle w:val="Compact"/>
      </w:pPr>
      <w:r>
        <w:rPr>
          <w:bCs/>
          <w:b/>
        </w:rPr>
        <w:t xml:space="preserve">Upstream Chemical Reagents (17.87% combined):</w:t>
      </w:r>
      <w:r>
        <w:t xml:space="preserve"> </w:t>
      </w:r>
      <w:r>
        <w:t xml:space="preserve">Virgin sulfuric acid digestion and ilmenite sand concentration collectively demand substantial energy prior to arriving at the Chinese facility.</w:t>
      </w:r>
    </w:p>
    <w:p>
      <w:pPr>
        <w:numPr>
          <w:ilvl w:val="0"/>
          <w:numId w:val="1003"/>
        </w:numPr>
        <w:pStyle w:val="Compact"/>
      </w:pPr>
      <w:r>
        <w:rPr>
          <w:bCs/>
          <w:b/>
        </w:rPr>
        <w:t xml:space="preserve">Logistics Sensitivity:</w:t>
      </w:r>
      <w:r>
        <w:t xml:space="preserve"> </w:t>
      </w:r>
      <w:r>
        <w:t xml:space="preserve">Transporting 2.30 metric tons of ore over</w:t>
      </w:r>
      <w:r>
        <w:t xml:space="preserve"> </w:t>
      </w:r>
      <w:r>
        <w:rPr>
          <w:bCs/>
          <w:b/>
        </w:rPr>
        <w:t xml:space="preserve">10,000 km via maritime sea freight</w:t>
      </w:r>
      <w:r>
        <w:t xml:space="preserve"> </w:t>
      </w:r>
      <w:r>
        <w:t xml:space="preserve">contributes</w:t>
      </w:r>
      <w:r>
        <w:t xml:space="preserve"> </w:t>
      </w:r>
      <w:r>
        <w:rPr>
          <w:bCs/>
          <w:b/>
        </w:rPr>
        <w:t xml:space="preserve">195.50 kg CO</w:t>
      </w:r>
      <w:r>
        <w:rPr>
          <w:vertAlign w:val="subscript"/>
          <w:bCs/>
          <w:b/>
        </w:rPr>
        <w:t xml:space="preserve">2</w:t>
      </w:r>
      <w:r>
        <w:rPr>
          <w:bCs/>
          <w:b/>
        </w:rPr>
        <w:t xml:space="preserve">e</w:t>
      </w:r>
      <w:r>
        <w:t xml:space="preserve">, establishing inbound logistics as the single largest non-chemical Scope 3 contributor.</w:t>
      </w:r>
    </w:p>
    <w:bookmarkEnd w:id="30"/>
    <w:bookmarkStart w:id="31" w:name="land-sector-and-removals-lsr-analysis"/>
    <w:p>
      <w:pPr>
        <w:pStyle w:val="Heading2"/>
      </w:pPr>
      <w:r>
        <w:t xml:space="preserve">5.2 2026 Land Sector and Removals (LSR) Analysis</w:t>
      </w:r>
    </w:p>
    <w:p>
      <w:pPr>
        <w:pStyle w:val="FirstParagraph"/>
      </w:pPr>
      <w:r>
        <w:t xml:space="preserve">Under the GHG Protocol 2026 Land Sector and Removals Standard, reporting organizations must decouple fossil emissions, biogenic emissions, and land use change dynamics:</w:t>
      </w:r>
    </w:p>
    <w:p>
      <w:pPr>
        <w:numPr>
          <w:ilvl w:val="0"/>
          <w:numId w:val="1004"/>
        </w:numPr>
        <w:pStyle w:val="Compact"/>
      </w:pPr>
      <w:r>
        <w:rPr>
          <w:bCs/>
          <w:b/>
        </w:rPr>
        <w:t xml:space="preserve">Direct Land Use Change (dLUC):</w:t>
      </w:r>
      <w:r>
        <w:t xml:space="preserve"> </w:t>
      </w:r>
      <w:r>
        <w:t xml:space="preserve">Open-cast mineral sand mining operations result in localized clearance of coastal vegetation, dune destabilization, and soil organic carbon oxidation. Applied emission factor reflects a 20-year land transformation amortization:</w:t>
      </w:r>
      <w:r>
        <w:t xml:space="preserve"> </w:t>
      </w:r>
      <w:r>
        <w:rPr>
          <w:bCs/>
          <w:b/>
        </w:rPr>
        <w:t xml:space="preserve">42.00 kg CO</w:t>
      </w:r>
      <w:r>
        <w:rPr>
          <w:vertAlign w:val="subscript"/>
          <w:bCs/>
          <w:b/>
        </w:rPr>
        <w:t xml:space="preserve">2</w:t>
      </w:r>
      <w:r>
        <w:rPr>
          <w:bCs/>
          <w:b/>
        </w:rPr>
        <w:t xml:space="preserve">e / functional unit</w:t>
      </w:r>
      <w:r>
        <w:t xml:space="preserve">.</w:t>
      </w:r>
    </w:p>
    <w:p>
      <w:pPr>
        <w:numPr>
          <w:ilvl w:val="0"/>
          <w:numId w:val="1004"/>
        </w:numPr>
        <w:pStyle w:val="Compact"/>
      </w:pPr>
      <w:r>
        <w:rPr>
          <w:bCs/>
          <w:b/>
        </w:rPr>
        <w:t xml:space="preserve">Biogenic Emissions:</w:t>
      </w:r>
      <w:r>
        <w:t xml:space="preserve"> </w:t>
      </w:r>
      <w:r>
        <w:t xml:space="preserve">Negligible (&lt; 0.05% related to wood pallet packaging lifecycle, tracked within standard category).</w:t>
      </w:r>
    </w:p>
    <w:p>
      <w:pPr>
        <w:numPr>
          <w:ilvl w:val="0"/>
          <w:numId w:val="1004"/>
        </w:numPr>
        <w:pStyle w:val="Compact"/>
      </w:pPr>
      <w:r>
        <w:rPr>
          <w:bCs/>
          <w:b/>
        </w:rPr>
        <w:t xml:space="preserve">Carbon Removals:</w:t>
      </w:r>
      <w:r>
        <w:t xml:space="preserve"> </w:t>
      </w:r>
      <w:r>
        <w:rPr>
          <w:bCs/>
          <w:b/>
        </w:rPr>
        <w:t xml:space="preserve">0.00 kg CO</w:t>
      </w:r>
      <w:r>
        <w:rPr>
          <w:vertAlign w:val="subscript"/>
          <w:bCs/>
          <w:b/>
        </w:rPr>
        <w:t xml:space="preserve">2</w:t>
      </w:r>
      <w:r>
        <w:rPr>
          <w:bCs/>
          <w:b/>
        </w:rPr>
        <w:t xml:space="preserve">e</w:t>
      </w:r>
      <w:r>
        <w:t xml:space="preserve">. Titanium dioxide is an inert inorganic mineral crystal. No biogenic carbon is embedded or stored within the product matrix, and zero permanent technological removals (DACCS/BECCS) are integrated at the manufacturing gate.</w:t>
      </w:r>
    </w:p>
    <w:bookmarkEnd w:id="31"/>
    <w:bookmarkStart w:id="32" w:name="Xf4c875bffb74c56b37d2715674d9074a169a2a6"/>
    <w:p>
      <w:pPr>
        <w:pStyle w:val="Heading2"/>
      </w:pPr>
      <w:r>
        <w:t xml:space="preserve">5.3 Data Quality Indicators (DQI) &amp; Reliability Index</w:t>
      </w:r>
    </w:p>
    <w:p>
      <w:pPr>
        <w:pStyle w:val="FirstParagraph"/>
      </w:pPr>
      <w:r>
        <w:t xml:space="preserve">The data quality was evaluated according to the GHG Protocol five-dimension matrix: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DQI Metric</w:t>
            </w:r>
          </w:p>
        </w:tc>
        <w:tc>
          <w:tcPr/>
          <w:p>
            <w:pPr>
              <w:pStyle w:val="Compact"/>
              <w:jc w:val="left"/>
            </w:pPr>
            <w:r>
              <w:t xml:space="preserve">Assessment Score</w:t>
            </w:r>
          </w:p>
        </w:tc>
        <w:tc>
          <w:tcPr/>
          <w:p>
            <w:pPr>
              <w:pStyle w:val="Compact"/>
              <w:jc w:val="left"/>
            </w:pPr>
            <w:r>
              <w:t xml:space="preserve">Justification &amp; Validation Pathway</w:t>
            </w:r>
          </w:p>
        </w:tc>
      </w:tr>
      <w:tr>
        <w:tc>
          <w:tcPr/>
          <w:p>
            <w:pPr>
              <w:pStyle w:val="Compact"/>
              <w:jc w:val="left"/>
            </w:pPr>
            <w:r>
              <w:rPr>
                <w:bCs/>
                <w:b/>
              </w:rPr>
              <w:t xml:space="preserve">Technological Representativeness</w:t>
            </w:r>
          </w:p>
        </w:tc>
        <w:tc>
          <w:tcPr/>
          <w:p>
            <w:pPr>
              <w:pStyle w:val="Compact"/>
              <w:jc w:val="left"/>
            </w:pPr>
            <w:r>
              <w:t xml:space="preserve">High (1.2)</w:t>
            </w:r>
          </w:p>
        </w:tc>
        <w:tc>
          <w:tcPr/>
          <w:p>
            <w:pPr>
              <w:pStyle w:val="Compact"/>
              <w:jc w:val="left"/>
            </w:pPr>
            <w:r>
              <w:t xml:space="preserve">Accurately reflects continuous sulfate route digestion, rotary gas-fired calcining, and surface treatment typical of state-of-the-art Chinese plants.</w:t>
            </w:r>
          </w:p>
        </w:tc>
      </w:tr>
      <w:tr>
        <w:tc>
          <w:tcPr/>
          <w:p>
            <w:pPr>
              <w:pStyle w:val="Compact"/>
              <w:jc w:val="left"/>
            </w:pPr>
            <w:r>
              <w:rPr>
                <w:bCs/>
                <w:b/>
              </w:rPr>
              <w:t xml:space="preserve">Geographical Representativeness</w:t>
            </w:r>
          </w:p>
        </w:tc>
        <w:tc>
          <w:tcPr/>
          <w:p>
            <w:pPr>
              <w:pStyle w:val="Compact"/>
              <w:jc w:val="left"/>
            </w:pPr>
            <w:r>
              <w:t xml:space="preserve">Very High (1.0)</w:t>
            </w:r>
          </w:p>
        </w:tc>
        <w:tc>
          <w:tcPr/>
          <w:p>
            <w:pPr>
              <w:pStyle w:val="Compact"/>
              <w:jc w:val="left"/>
            </w:pPr>
            <w:r>
              <w:t xml:space="preserve">Utilizes Chinese national grid emission factors and regional coastal industrial operating parameters.</w:t>
            </w:r>
          </w:p>
        </w:tc>
      </w:tr>
      <w:tr>
        <w:tc>
          <w:tcPr/>
          <w:p>
            <w:pPr>
              <w:pStyle w:val="Compact"/>
              <w:jc w:val="left"/>
            </w:pPr>
            <w:r>
              <w:rPr>
                <w:bCs/>
                <w:b/>
              </w:rPr>
              <w:t xml:space="preserve">Temporal Representativeness</w:t>
            </w:r>
          </w:p>
        </w:tc>
        <w:tc>
          <w:tcPr/>
          <w:p>
            <w:pPr>
              <w:pStyle w:val="Compact"/>
              <w:jc w:val="left"/>
            </w:pPr>
            <w:r>
              <w:t xml:space="preserve">High (1.3)</w:t>
            </w:r>
          </w:p>
        </w:tc>
        <w:tc>
          <w:tcPr/>
          <w:p>
            <w:pPr>
              <w:pStyle w:val="Compact"/>
              <w:jc w:val="left"/>
            </w:pPr>
            <w:r>
              <w:t xml:space="preserve">Primary activity data aligns with 2024–2026 operations; secondary datasets derived from Ecoinvent v3.10 and recent DEFRA/IEA releases.</w:t>
            </w:r>
          </w:p>
        </w:tc>
      </w:tr>
      <w:tr>
        <w:tc>
          <w:tcPr/>
          <w:p>
            <w:pPr>
              <w:pStyle w:val="Compact"/>
              <w:jc w:val="left"/>
            </w:pPr>
            <w:r>
              <w:rPr>
                <w:bCs/>
                <w:b/>
              </w:rPr>
              <w:t xml:space="preserve">Completeness</w:t>
            </w:r>
          </w:p>
        </w:tc>
        <w:tc>
          <w:tcPr/>
          <w:p>
            <w:pPr>
              <w:pStyle w:val="Compact"/>
              <w:jc w:val="left"/>
            </w:pPr>
            <w:r>
              <w:t xml:space="preserve">Very High (1.1)</w:t>
            </w:r>
          </w:p>
        </w:tc>
        <w:tc>
          <w:tcPr/>
          <w:p>
            <w:pPr>
              <w:pStyle w:val="Compact"/>
              <w:jc w:val="left"/>
            </w:pPr>
            <w:r>
              <w:t xml:space="preserve">Scope 3 screening exceeds 98.4%, well clear of the mandatory 95% threshold. Cut-off criteria restricted to minor lubricants (&lt; 0.2%).</w:t>
            </w:r>
          </w:p>
        </w:tc>
      </w:tr>
      <w:tr>
        <w:tc>
          <w:tcPr/>
          <w:p>
            <w:pPr>
              <w:pStyle w:val="Compact"/>
              <w:jc w:val="left"/>
            </w:pPr>
            <w:r>
              <w:rPr>
                <w:bCs/>
                <w:b/>
              </w:rPr>
              <w:t xml:space="preserve">Reliability / Verification</w:t>
            </w:r>
          </w:p>
        </w:tc>
        <w:tc>
          <w:tcPr/>
          <w:p>
            <w:pPr>
              <w:pStyle w:val="Compact"/>
              <w:jc w:val="left"/>
            </w:pPr>
            <w:r>
              <w:t xml:space="preserve">High (1.2)</w:t>
            </w:r>
          </w:p>
        </w:tc>
        <w:tc>
          <w:tcPr/>
          <w:p>
            <w:pPr>
              <w:pStyle w:val="Compact"/>
              <w:jc w:val="left"/>
            </w:pPr>
            <w:r>
              <w:t xml:space="preserve">Direct inputs validated through mass balance stoichiometry, fuel metering, and invoice cross-referencing.</w:t>
            </w:r>
          </w:p>
        </w:tc>
      </w:tr>
    </w:tbl>
    <w:p>
      <w:r>
        <w:pict>
          <v:rect style="width:0;height:1.5pt" o:hralign="center" o:hrstd="t" o:hr="t"/>
        </w:pict>
      </w:r>
    </w:p>
    <w:bookmarkEnd w:id="32"/>
    <w:bookmarkEnd w:id="33"/>
    <w:bookmarkStart w:id="34" w:name="X0d1106203c9cdcee843bf879b634a76eeafe672"/>
    <w:p>
      <w:pPr>
        <w:pStyle w:val="Heading1"/>
      </w:pPr>
      <w:r>
        <w:t xml:space="preserve">Step 6: Decarbonization Pathways (Science-Based Targets)</w:t>
      </w:r>
    </w:p>
    <w:p>
      <w:pPr>
        <w:pStyle w:val="FirstParagraph"/>
      </w:pPr>
      <w:r>
        <w:t xml:space="preserve">To align with corporate Scope 1, 2, and 3 reduction trajectories under the Net-Zero Standard, the manufacturing facility should execute four targeted intervention levers:</w:t>
      </w:r>
    </w:p>
    <w:p>
      <w:pPr>
        <w:numPr>
          <w:ilvl w:val="0"/>
          <w:numId w:val="1005"/>
        </w:numPr>
        <w:pStyle w:val="Compact"/>
      </w:pPr>
      <w:r>
        <w:rPr>
          <w:bCs/>
          <w:b/>
        </w:rPr>
        <w:t xml:space="preserve">Power Purchase Agreements (PPAs) for Clean Energy (Scope 2):</w:t>
      </w:r>
      <w:r>
        <w:t xml:space="preserve"> </w:t>
      </w:r>
      <w:r>
        <w:t xml:space="preserve">Transitioning 1,850 kWh of electricity consumption from the standard Chinese national grid factor (0.570 kg CO</w:t>
      </w:r>
      <w:r>
        <w:rPr>
          <w:vertAlign w:val="subscript"/>
        </w:rPr>
        <w:t xml:space="preserve">2</w:t>
      </w:r>
      <w:r>
        <w:t xml:space="preserve">e/kWh) to dedicated off-site solar/wind corporate PPAs or nuclear power lowers Scope 2 emissions by up to</w:t>
      </w:r>
      <w:r>
        <w:t xml:space="preserve"> </w:t>
      </w:r>
      <w:r>
        <w:rPr>
          <w:bCs/>
          <w:b/>
        </w:rPr>
        <w:t xml:space="preserve">900 kg CO</w:t>
      </w:r>
      <w:r>
        <w:rPr>
          <w:vertAlign w:val="subscript"/>
          <w:bCs/>
          <w:b/>
        </w:rPr>
        <w:t xml:space="preserve">2</w:t>
      </w:r>
      <w:r>
        <w:rPr>
          <w:bCs/>
          <w:b/>
        </w:rPr>
        <w:t xml:space="preserve">e / t TiO</w:t>
      </w:r>
      <w:r>
        <w:rPr>
          <w:vertAlign w:val="subscript"/>
          <w:bCs/>
          <w:b/>
        </w:rPr>
        <w:t xml:space="preserve">2</w:t>
      </w:r>
      <w:r>
        <w:t xml:space="preserve"> </w:t>
      </w:r>
      <w:r>
        <w:t xml:space="preserve">(a 21.0% net PCF reduction).</w:t>
      </w:r>
    </w:p>
    <w:p>
      <w:pPr>
        <w:numPr>
          <w:ilvl w:val="0"/>
          <w:numId w:val="1005"/>
        </w:numPr>
        <w:pStyle w:val="Compact"/>
      </w:pPr>
      <w:r>
        <w:rPr>
          <w:bCs/>
          <w:b/>
        </w:rPr>
        <w:t xml:space="preserve">Electrified or Oxy-Fuel Kiln Calcination (Scope 1):</w:t>
      </w:r>
      <w:r>
        <w:t xml:space="preserve"> </w:t>
      </w:r>
      <w:r>
        <w:t xml:space="preserve">Replacing conventional natural gas burners in rotary kilns with electric plasma induction heating or hydrogen-enriched flame burners can eliminate up to 70% of thermal combustion emissions, saving</w:t>
      </w:r>
      <w:r>
        <w:t xml:space="preserve"> </w:t>
      </w:r>
      <w:r>
        <w:rPr>
          <w:bCs/>
          <w:b/>
        </w:rPr>
        <w:t xml:space="preserve">490 kg CO</w:t>
      </w:r>
      <w:r>
        <w:rPr>
          <w:vertAlign w:val="subscript"/>
          <w:bCs/>
          <w:b/>
        </w:rPr>
        <w:t xml:space="preserve">2</w:t>
      </w:r>
      <w:r>
        <w:rPr>
          <w:bCs/>
          <w:b/>
        </w:rPr>
        <w:t xml:space="preserve">e / t TiO</w:t>
      </w:r>
      <w:r>
        <w:rPr>
          <w:vertAlign w:val="subscript"/>
          <w:bCs/>
          <w:b/>
        </w:rPr>
        <w:t xml:space="preserve">2</w:t>
      </w:r>
      <w:r>
        <w:t xml:space="preserve">.</w:t>
      </w:r>
    </w:p>
    <w:p>
      <w:pPr>
        <w:numPr>
          <w:ilvl w:val="0"/>
          <w:numId w:val="1005"/>
        </w:numPr>
        <w:pStyle w:val="Compact"/>
      </w:pPr>
      <w:r>
        <w:rPr>
          <w:bCs/>
          <w:b/>
        </w:rPr>
        <w:t xml:space="preserve">Acid Regeneration &amp; Circular Gypsum Reuse (Scope 3):</w:t>
      </w:r>
      <w:r>
        <w:t xml:space="preserve"> </w:t>
      </w:r>
      <w:r>
        <w:t xml:space="preserve">Transitioning from lime neutralization of spent acid to high-efficiency membrane acid concentration units reduces virgin sulfuric acid demand and abates downstream gypsum disposal volumes, saving</w:t>
      </w:r>
      <w:r>
        <w:t xml:space="preserve"> </w:t>
      </w:r>
      <w:r>
        <w:rPr>
          <w:bCs/>
          <w:b/>
        </w:rPr>
        <w:t xml:space="preserve">180 kg CO</w:t>
      </w:r>
      <w:r>
        <w:rPr>
          <w:vertAlign w:val="subscript"/>
          <w:bCs/>
          <w:b/>
        </w:rPr>
        <w:t xml:space="preserve">2</w:t>
      </w:r>
      <w:r>
        <w:rPr>
          <w:bCs/>
          <w:b/>
        </w:rPr>
        <w:t xml:space="preserve">e / t TiO</w:t>
      </w:r>
      <w:r>
        <w:rPr>
          <w:vertAlign w:val="subscript"/>
          <w:bCs/>
          <w:b/>
        </w:rPr>
        <w:t xml:space="preserve">2</w:t>
      </w:r>
      <w:r>
        <w:t xml:space="preserve">.</w:t>
      </w:r>
    </w:p>
    <w:p>
      <w:pPr>
        <w:numPr>
          <w:ilvl w:val="0"/>
          <w:numId w:val="1005"/>
        </w:numPr>
        <w:pStyle w:val="Compact"/>
      </w:pPr>
      <w:r>
        <w:rPr>
          <w:bCs/>
          <w:b/>
        </w:rPr>
        <w:t xml:space="preserve">Low-Carbon Ocean Freight (Scope 3 Logistics):</w:t>
      </w:r>
      <w:r>
        <w:t xml:space="preserve"> </w:t>
      </w:r>
      <w:r>
        <w:t xml:space="preserve">Engaging maritime freight carriers utilizing dual-fuel green methanol or LNG propulsion for the 10,000 km sea shipping route reduces logistics-related emissions by</w:t>
      </w:r>
      <w:r>
        <w:t xml:space="preserve"> </w:t>
      </w:r>
      <w:r>
        <w:rPr>
          <w:bCs/>
          <w:b/>
        </w:rPr>
        <w:t xml:space="preserve">45%–60%</w:t>
      </w:r>
      <w:r>
        <w:t xml:space="preserve"> </w:t>
      </w:r>
      <w:r>
        <w:t xml:space="preserve">(saving up to</w:t>
      </w:r>
      <w:r>
        <w:t xml:space="preserve"> </w:t>
      </w:r>
      <w:r>
        <w:rPr>
          <w:bCs/>
          <w:b/>
        </w:rPr>
        <w:t xml:space="preserve">117 kg CO</w:t>
      </w:r>
      <w:r>
        <w:rPr>
          <w:vertAlign w:val="subscript"/>
          <w:bCs/>
          <w:b/>
        </w:rPr>
        <w:t xml:space="preserve">2</w:t>
      </w:r>
      <w:r>
        <w:rPr>
          <w:bCs/>
          <w:b/>
        </w:rPr>
        <w:t xml:space="preserve">e / t TiO</w:t>
      </w:r>
      <w:r>
        <w:rPr>
          <w:vertAlign w:val="subscript"/>
          <w:bCs/>
          <w:b/>
        </w:rPr>
        <w:t xml:space="preserve">2</w:t>
      </w:r>
      <w:r>
        <w:t xml:space="preserve">).</w:t>
      </w:r>
    </w:p>
    <w:p>
      <w:pPr>
        <w:pStyle w:val="FirstParagraph"/>
      </w:pPr>
      <w:r>
        <w:t xml:space="preserve">businessanalytiq.com • GHG Protocol PCF Report: Titanium Dioxide</w:t>
      </w:r>
    </w:p>
    <w:p>
      <w:pPr>
        <w:pStyle w:val="BodyText"/>
      </w:pPr>
      <w:r>
        <w:t xml:space="preserve">Confidential • Product Sustainability Assessment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Titanium Dioxide (TiO2) - businessanalytiq.com</dc:title>
  <dc:creator/>
  <dc:description>High-detail Product Carbon Footprint (PCF) report for 1.0 metric ton of Titanium Dioxide manufactured in China with global maritime supply chains, compliant with GHG Protocol and 2026 LSR standards.</dc:description>
  <dc:language>en</dc:language>
  <cp:keywords/>
  <dcterms:created xsi:type="dcterms:W3CDTF">2026-10-08T08:52:47Z</dcterms:created>
  <dcterms:modified xsi:type="dcterms:W3CDTF">2026-10-08T08:52:47Z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