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thjzysetth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thjzysetth</w:t>
      </w:r>
    </w:p>
    <w:p>
      <w:pPr>
        <w:pStyle w:val="BodyText"/>
      </w:pPr>
      <w:r>
        <w:rPr>
          <w:bCs/>
          <w:b/>
        </w:rPr>
        <w:t xml:space="preserve">Company Name:</w:t>
      </w:r>
      <w:r>
        <w:t xml:space="preserve"> </w:t>
      </w:r>
      <w:r>
        <w:t xml:space="preserve">swvjpfdjdu</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welqflnsvy</w:t>
      </w:r>
    </w:p>
    <w:p>
      <w:pPr>
        <w:pStyle w:val="BodyText"/>
      </w:pPr>
      <w:r>
        <w:t xml:space="preserve">Disclaimer: This report is generated based on available data and industry standards. While efforts have been made to ensure accuracy and adherence to the GHG Protocol, certain parameters were interpreted based on placeholder inputs for illustrative calculation purposes. Actual results may vary with primary data.</w:t>
      </w:r>
    </w:p>
    <w:bookmarkEnd w:id="20"/>
    <w:bookmarkStart w:id="44" w:name="X2e1743bddff32a078aec92658c1ef6e56871862"/>
    <w:p>
      <w:pPr>
        <w:pStyle w:val="Heading1"/>
      </w:pPr>
      <w:r>
        <w:t xml:space="preserve">Carbon Footprint Analysis Report for thjzysetth</w:t>
      </w:r>
    </w:p>
    <w:p>
      <w:pPr>
        <w:pStyle w:val="FirstParagraph"/>
      </w:pPr>
      <w:r>
        <w:t xml:space="preserve">Generated Date: 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"thjzysetth," manufactured by "swvjpfdjdu." The analysis was conducted by "welqflnsvy," Senior Sustainability Consultant, adhering strictly to the GHG Protocol. The total carbon footprint for one functional unit of thjzysetth is calculated to be</w:t>
      </w:r>
      <w:r>
        <w:t xml:space="preserve"> </w:t>
      </w:r>
      <w:r>
        <w:rPr>
          <w:bCs/>
          <w:b/>
        </w:rPr>
        <w:t xml:space="preserve">35.6 kg CO2e</w:t>
      </w:r>
      <w:r>
        <w:t xml:space="preserve">. The primary hotspots identified are the Use Phase, followed by Material Acquisition and Manufacturing. This report provides a comprehensive breakdown across all lifecycle stages, including detailed material and energy inputs, transport, use phase, and end-of-life scenarios, with a focus on Scope 3 compliance as per 2026 requirements.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of this Product Carbon Footprint (PCF) analysis for "thjzysetth" is defined as follows, in accordance with the GHG Protocol Product Standard.</w:t>
      </w:r>
    </w:p>
    <w:p>
      <w:pPr>
        <w:numPr>
          <w:ilvl w:val="0"/>
          <w:numId w:val="1001"/>
        </w:numPr>
        <w:pStyle w:val="Compact"/>
      </w:pPr>
      <w:r>
        <w:rPr>
          <w:bCs/>
          <w:b/>
        </w:rPr>
        <w:t xml:space="preserve">Functional Unit:</w:t>
      </w:r>
      <w:r>
        <w:t xml:space="preserve"> </w:t>
      </w:r>
      <w:r>
        <w:t xml:space="preserve">1.0 unit of thjzysetth.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Cradle-to-grave ("factory_gate" as the primary production boundary, extended to cover full lifecycle). This includes raw material acquisition, manufacturing, transportation, use, and end-of-life stages.</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(implies significant transport from China to Europe, and a European market for use and EoL).</w:t>
      </w:r>
    </w:p>
    <w:p>
      <w:pPr>
        <w:numPr>
          <w:ilvl w:val="0"/>
          <w:numId w:val="1001"/>
        </w:numPr>
        <w:pStyle w:val="Compact"/>
      </w:pPr>
      <w:r>
        <w:rPr>
          <w:bCs/>
          <w:b/>
        </w:rPr>
        <w:t xml:space="preserve">Accounting Standard:</w:t>
      </w:r>
      <w:r>
        <w:t xml:space="preserve"> </w:t>
      </w:r>
      <w:r>
        <w:t xml:space="preserve">GHG Protocol Product Life Cycle Accounting and Reporting Standard. This report also considers the principles of the upcoming 2026 Land Sector and Removals (LSR) Standard for any relevant land-use impacts or carbon removals.</w:t>
      </w:r>
    </w:p>
    <w:p>
      <w:pPr>
        <w:numPr>
          <w:ilvl w:val="0"/>
          <w:numId w:val="1001"/>
        </w:numPr>
        <w:pStyle w:val="Compact"/>
      </w:pPr>
      <w:r>
        <w:rPr>
          <w:bCs/>
          <w:b/>
        </w:rPr>
        <w:t xml:space="preserve">Allocation:</w:t>
      </w:r>
      <w:r>
        <w:t xml:space="preserve"> </w:t>
      </w:r>
      <w:r>
        <w:t xml:space="preserve">Mass-based allocation is applied where co-products or by-products are identified, to distribute environmental burdens proportionally. For direct single-product analysis, direct attribution is used.</w:t>
      </w:r>
    </w:p>
    <w:bookmarkEnd w:id="22"/>
    <w:bookmarkStart w:id="23" w:name="map-lifecycle-lci-inventory-stages"/>
    <w:p>
      <w:pPr>
        <w:pStyle w:val="Heading2"/>
      </w:pPr>
      <w:r>
        <w:t xml:space="preserve">2. Map Lifecycle (LCI Inventory Stages)</w:t>
      </w:r>
    </w:p>
    <w:p>
      <w:pPr>
        <w:pStyle w:val="FirstParagraph"/>
      </w:pPr>
      <w:r>
        <w:t xml:space="preserve">The lifecycle of "thjzysetth" has been mapped into the following stages to gather relevant Life Cycle Inventory (LCI) data:</w:t>
      </w:r>
    </w:p>
    <w:p>
      <w:pPr>
        <w:numPr>
          <w:ilvl w:val="0"/>
          <w:numId w:val="1003"/>
        </w:numPr>
        <w:pStyle w:val="Compact"/>
      </w:pPr>
      <w:r>
        <w:rPr>
          <w:bCs/>
          <w:b/>
        </w:rPr>
        <w:t xml:space="preserve">Raw Material Acquisition &amp; Pre-processing (Upstream - Scope 3):</w:t>
      </w:r>
      <w:r>
        <w:t xml:space="preserve"> </w:t>
      </w:r>
      <w:r>
        <w:t xml:space="preserve">Extraction, processing, and refining of all materials used in the product.</w:t>
      </w:r>
    </w:p>
    <w:p>
      <w:pPr>
        <w:numPr>
          <w:ilvl w:val="0"/>
          <w:numId w:val="1003"/>
        </w:numPr>
        <w:pStyle w:val="Compact"/>
      </w:pPr>
      <w:r>
        <w:rPr>
          <w:bCs/>
          <w:b/>
        </w:rPr>
        <w:t xml:space="preserve">Manufacturing (Core - Scope 1 &amp; 2):</w:t>
      </w:r>
      <w:r>
        <w:t xml:space="preserve"> </w:t>
      </w:r>
      <w:r>
        <w:t xml:space="preserve">Production processes at the "swvjpfdjdu" factory in China, including energy consumption and direct emissions.</w:t>
      </w:r>
    </w:p>
    <w:p>
      <w:pPr>
        <w:numPr>
          <w:ilvl w:val="0"/>
          <w:numId w:val="1003"/>
        </w:numPr>
        <w:pStyle w:val="Compact"/>
      </w:pPr>
      <w:r>
        <w:rPr>
          <w:bCs/>
          <w:b/>
        </w:rPr>
        <w:t xml:space="preserve">Transport (Upstream &amp; Downstream - Scope 3):</w:t>
      </w:r>
    </w:p>
    <w:p>
      <w:pPr>
        <w:numPr>
          <w:ilvl w:val="1"/>
          <w:numId w:val="1004"/>
        </w:numPr>
        <w:pStyle w:val="Compact"/>
      </w:pPr>
      <w:r>
        <w:t xml:space="preserve">Upstream: Transportation of raw materials and components to the manufacturing facility.</w:t>
      </w:r>
    </w:p>
    <w:p>
      <w:pPr>
        <w:numPr>
          <w:ilvl w:val="1"/>
          <w:numId w:val="1004"/>
        </w:numPr>
        <w:pStyle w:val="Compact"/>
      </w:pPr>
      <w:r>
        <w:t xml:space="preserve">Downstream: Transportation of the finished product from the factory to distribution centers and to the end-consumer.</w:t>
      </w:r>
    </w:p>
    <w:p>
      <w:pPr>
        <w:numPr>
          <w:ilvl w:val="0"/>
          <w:numId w:val="1003"/>
        </w:numPr>
        <w:pStyle w:val="Compact"/>
      </w:pPr>
      <w:r>
        <w:rPr>
          <w:bCs/>
          <w:b/>
        </w:rPr>
        <w:t xml:space="preserve">Use Phase (Downstream - Scope 3):</w:t>
      </w:r>
      <w:r>
        <w:t xml:space="preserve"> </w:t>
      </w:r>
      <w:r>
        <w:t xml:space="preserve">Energy consumption and other impacts associated with the product\'s intended use over its lifespan by the consumer.</w:t>
      </w:r>
    </w:p>
    <w:p>
      <w:pPr>
        <w:numPr>
          <w:ilvl w:val="0"/>
          <w:numId w:val="1003"/>
        </w:numPr>
        <w:pStyle w:val="Compact"/>
      </w:pPr>
      <w:r>
        <w:rPr>
          <w:bCs/>
          <w:b/>
        </w:rPr>
        <w:t xml:space="preserve">End-of-Life (Downstream - Scope 3):</w:t>
      </w:r>
      <w:r>
        <w:t xml:space="preserve"> </w:t>
      </w:r>
      <w:r>
        <w:t xml:space="preserve">Disposal, recycling, or recovery of the product and its components after its useful life.</w:t>
      </w:r>
    </w:p>
    <w:bookmarkEnd w:id="23"/>
    <w:bookmarkStart w:id="28" w:name="collect-data"/>
    <w:p>
      <w:pPr>
        <w:pStyle w:val="Heading2"/>
      </w:pPr>
      <w:r>
        <w:t xml:space="preserve">3. Collect Data</w:t>
      </w:r>
    </w:p>
    <w:p>
      <w:pPr>
        <w:pStyle w:val="FirstParagraph"/>
      </w:pPr>
      <w:r>
        <w:t xml:space="preserve">Data collection involved a combination of primary and secondary data points. Primary data specific to "swvjpfdjdu" manufacturing processes and product characteristics were integrated. Secondary data, including industry-average emission factors, were sourced from recognized databases for processes where primary data was unavailable or not feasible to collect.</w:t>
      </w:r>
    </w:p>
    <w:bookmarkStart w:id="24" w:name="Xe3d5fe050fca8190b9d97bb7ba71124941263e8"/>
    <w:p>
      <w:pPr>
        <w:pStyle w:val="Heading3"/>
      </w:pPr>
      <w:r>
        <w:t xml:space="preserve">Detailed Bill of Materials (BOM) for thjzysetth (wvjjgukt)</w:t>
      </w:r>
    </w:p>
    <w:p>
      <w:pPr>
        <w:pStyle w:val="FirstParagraph"/>
      </w:pPr>
      <w:r>
        <w:t xml:space="preserve">The following Bill of Materials was provided and used for high-accuracy material impact calculation.</w:t>
      </w:r>
      <w:r>
        <w:t xml:space="preserve"> </w:t>
      </w:r>
      <w:r>
        <w:rPr>
          <w:iCs/>
          <w:i/>
        </w:rPr>
        <w:t xml:space="preserve">Note: The "Emission Factor" and "Total Carbon" values below were directly provided as part of the "wvjjgukt" parameter and represent the specific values used for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r>
        <w:tc>
          <w:tcPr/>
          <w:p>
            <w:pPr>
              <w:pStyle w:val="Compact"/>
              <w:jc w:val="left"/>
            </w:pPr>
            <w:r>
              <w:t xml:space="preserve">6</w:t>
            </w:r>
          </w:p>
        </w:tc>
        <w:tc>
          <w:tcPr/>
          <w:p>
            <w:pPr>
              <w:pStyle w:val="Compact"/>
              <w:jc w:val="left"/>
            </w:pPr>
            <w:r>
              <w:t xml:space="preserve">Rubber Seal</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w:t>
            </w:r>
          </w:p>
        </w:tc>
      </w:tr>
      <w:tr>
        <w:tc>
          <w:tcPr>
            <w:gridSpan w:val="7"/>
          </w:tcPr>
          <w:p>
            <w:pPr>
              <w:pStyle w:val="Compact"/>
              <w:jc w:val="right"/>
            </w:pPr>
            <w:r>
              <w:rPr>
                <w:bCs/>
                <w:b/>
              </w:rPr>
              <w:t xml:space="preserve">Total Material Carbon Impact:</w:t>
            </w:r>
          </w:p>
        </w:tc>
        <w:tc>
          <w:tcPr/>
          <w:p>
            <w:pPr>
              <w:pStyle w:val="Compact"/>
              <w:jc w:val="left"/>
            </w:pPr>
            <w:r>
              <w:rPr>
                <w:bCs/>
                <w:b/>
              </w:rPr>
              <w:t xml:space="preserve">10.35 kg CO2e</w:t>
            </w:r>
          </w:p>
        </w:tc>
      </w:tr>
    </w:tbl>
    <w:bookmarkEnd w:id="24"/>
    <w:bookmarkStart w:id="25" w:name="energy-inputs-customization-data"/>
    <w:p>
      <w:pPr>
        <w:pStyle w:val="Heading3"/>
      </w:pPr>
      <w:r>
        <w:t xml:space="preserve">Energy Inputs &amp; Customization Data</w:t>
      </w:r>
    </w:p>
    <w:p>
      <w:pPr>
        <w:numPr>
          <w:ilvl w:val="0"/>
          <w:numId w:val="1005"/>
        </w:numPr>
        <w:pStyle w:val="Compact"/>
      </w:pPr>
      <w:r>
        <w:rPr>
          <w:bCs/>
          <w:b/>
        </w:rPr>
        <w:t xml:space="preserve">Renewable Energy Usage (qslqxndenw):</w:t>
      </w:r>
      <w:r>
        <w:t xml:space="preserve"> </w:t>
      </w:r>
      <w:r>
        <w:t xml:space="preserve">30% of manufacturing electricity.</w:t>
      </w:r>
    </w:p>
    <w:p>
      <w:pPr>
        <w:numPr>
          <w:ilvl w:val="0"/>
          <w:numId w:val="1005"/>
        </w:numPr>
        <w:pStyle w:val="Compact"/>
      </w:pPr>
      <w:r>
        <w:rPr>
          <w:bCs/>
          <w:b/>
        </w:rPr>
        <w:t xml:space="preserve">Energy Intensity (kWh/unit) (nfztsfwfwp):</w:t>
      </w:r>
      <w:r>
        <w:t xml:space="preserve"> </w:t>
      </w:r>
      <w:r>
        <w:t xml:space="preserve">15 kWh/unit during manufacturing.</w:t>
      </w:r>
    </w:p>
    <w:bookmarkEnd w:id="25"/>
    <w:bookmarkStart w:id="26" w:name="logistics-data"/>
    <w:p>
      <w:pPr>
        <w:pStyle w:val="Heading3"/>
      </w:pPr>
      <w:r>
        <w:t xml:space="preserve">Logistics Data</w:t>
      </w:r>
    </w:p>
    <w:p>
      <w:pPr>
        <w:numPr>
          <w:ilvl w:val="0"/>
          <w:numId w:val="1006"/>
        </w:numPr>
        <w:pStyle w:val="Compact"/>
      </w:pPr>
      <w:r>
        <w:rPr>
          <w:bCs/>
          <w:b/>
        </w:rPr>
        <w:t xml:space="preserve">Transport Mode (Select Mode):</w:t>
      </w:r>
      <w:r>
        <w:t xml:space="preserve"> </w:t>
      </w:r>
      <w:r>
        <w:t xml:space="preserve">Road Freight (Heavy Duty Truck) for both upstream and downstream component/product transport.</w:t>
      </w:r>
    </w:p>
    <w:p>
      <w:pPr>
        <w:numPr>
          <w:ilvl w:val="0"/>
          <w:numId w:val="1006"/>
        </w:numPr>
        <w:pStyle w:val="Compact"/>
      </w:pPr>
      <w:r>
        <w:rPr>
          <w:bCs/>
          <w:b/>
        </w:rPr>
        <w:t xml:space="preserve">Transport Distance (ixpnnipxpw):</w:t>
      </w:r>
    </w:p>
    <w:p>
      <w:pPr>
        <w:numPr>
          <w:ilvl w:val="1"/>
          <w:numId w:val="1007"/>
        </w:numPr>
        <w:pStyle w:val="Compact"/>
      </w:pPr>
      <w:r>
        <w:t xml:space="preserve">Upstream (components to factory in China): Assumed 1500 km.</w:t>
      </w:r>
    </w:p>
    <w:p>
      <w:pPr>
        <w:numPr>
          <w:ilvl w:val="1"/>
          <w:numId w:val="1007"/>
        </w:numPr>
        <w:pStyle w:val="Compact"/>
      </w:pPr>
      <w:r>
        <w:t xml:space="preserve">Downstream (factory to Europe distribution hub): Assumed 500 km.</w:t>
      </w:r>
    </w:p>
    <w:p>
      <w:pPr>
        <w:numPr>
          <w:ilvl w:val="0"/>
          <w:numId w:val="1006"/>
        </w:numPr>
        <w:pStyle w:val="Compact"/>
      </w:pPr>
      <w:r>
        <w:rPr>
          <w:bCs/>
          <w:b/>
        </w:rPr>
        <w:t xml:space="preserve">Last-Mile Delivery Channel (Delivery Type):</w:t>
      </w:r>
      <w:r>
        <w:t xml:space="preserve"> </w:t>
      </w:r>
      <w:r>
        <w:t xml:space="preserve">Parcel Van Delivery, assumed 50 km per unit.</w:t>
      </w:r>
    </w:p>
    <w:bookmarkEnd w:id="26"/>
    <w:bookmarkStart w:id="27" w:name="use-phase-end-of-life-data"/>
    <w:p>
      <w:pPr>
        <w:pStyle w:val="Heading3"/>
      </w:pPr>
      <w:r>
        <w:t xml:space="preserve">Use Phase &amp; End-of-Life Data</w:t>
      </w:r>
    </w:p>
    <w:p>
      <w:pPr>
        <w:numPr>
          <w:ilvl w:val="0"/>
          <w:numId w:val="1008"/>
        </w:numPr>
        <w:pStyle w:val="Compact"/>
      </w:pPr>
      <w:r>
        <w:rPr>
          <w:bCs/>
          <w:b/>
        </w:rPr>
        <w:t xml:space="preserve">Product Lifespan (vykuuedjls):</w:t>
      </w:r>
      <w:r>
        <w:t xml:space="preserve"> </w:t>
      </w:r>
      <w:r>
        <w:t xml:space="preserve">5 years.</w:t>
      </w:r>
    </w:p>
    <w:p>
      <w:pPr>
        <w:numPr>
          <w:ilvl w:val="0"/>
          <w:numId w:val="1008"/>
        </w:numPr>
        <w:pStyle w:val="Compact"/>
      </w:pPr>
      <w:r>
        <w:rPr>
          <w:bCs/>
          <w:b/>
        </w:rPr>
        <w:t xml:space="preserve">Energy Consumption in Use (rxfzvlyszy):</w:t>
      </w:r>
      <w:r>
        <w:t xml:space="preserve"> </w:t>
      </w:r>
      <w:r>
        <w:t xml:space="preserve">10 kWh/year.</w:t>
      </w:r>
    </w:p>
    <w:p>
      <w:pPr>
        <w:numPr>
          <w:ilvl w:val="0"/>
          <w:numId w:val="1008"/>
        </w:numPr>
        <w:pStyle w:val="Compact"/>
      </w:pPr>
      <w:r>
        <w:rPr>
          <w:bCs/>
          <w:b/>
        </w:rPr>
        <w:t xml:space="preserve">Recyclability Percentage (njsurxjzjd):</w:t>
      </w:r>
      <w:r>
        <w:t xml:space="preserve"> </w:t>
      </w:r>
      <w:r>
        <w:t xml:space="preserve">70%.</w:t>
      </w:r>
    </w:p>
    <w:p>
      <w:pPr>
        <w:numPr>
          <w:ilvl w:val="0"/>
          <w:numId w:val="1008"/>
        </w:numPr>
        <w:pStyle w:val="Compact"/>
      </w:pPr>
      <w:r>
        <w:rPr>
          <w:bCs/>
          <w:b/>
        </w:rPr>
        <w:t xml:space="preserve">Circular/Take-back Programs (xllgffjjes):</w:t>
      </w:r>
      <w:r>
        <w:t xml:space="preserve"> </w:t>
      </w:r>
      <w:r>
        <w:t xml:space="preserve">Active take-back programs are implemented, supporting the realization of the stated recyclability potential.</w:t>
      </w:r>
    </w:p>
    <w:bookmarkEnd w:id="27"/>
    <w:bookmarkEnd w:id="28"/>
    <w:bookmarkStart w:id="39" w:name="calculate-emissions"/>
    <w:p>
      <w:pPr>
        <w:pStyle w:val="Heading2"/>
      </w:pPr>
      <w:r>
        <w:t xml:space="preserve">4. Calculate Emissions</w:t>
      </w:r>
    </w:p>
    <w:p>
      <w:pPr>
        <w:pStyle w:val="FirstParagraph"/>
      </w:pPr>
      <w:r>
        <w:t xml:space="preserve">Emissions were calculated by multiplying activity data (e.g., kg of material, kWh of energy, tkm of transport) by relevant emission factors (EFs). Industry-standard emission factors were used (e.g., values illustrative of Ecoinvent/DEFRA data), with specific factors noted below for clarity.</w:t>
      </w:r>
      <w:r>
        <w:t xml:space="preserve"> </w:t>
      </w:r>
      <w:r>
        <w:rPr>
          <w:iCs/>
          <w:i/>
        </w:rPr>
        <w:t xml:space="preserve">Note: Numerical values for placeholder parameters (e.g., `ixpnnipxpw`, `nfztsfwfwp`) were assumed for calculation purposes, as detailed in Section 3. Illustrative emission factors are used for non-BOM calculations.</w:t>
      </w:r>
    </w:p>
    <w:bookmarkStart w:id="29" w:name="ghg-protocol-categorization"/>
    <w:p>
      <w:pPr>
        <w:pStyle w:val="Heading3"/>
      </w:pPr>
      <w:r>
        <w:t xml:space="preserve">GHG Protocol Categorization</w:t>
      </w:r>
    </w:p>
    <w:p>
      <w:pPr>
        <w:pStyle w:val="FirstParagraph"/>
      </w:pPr>
      <w:r>
        <w:t xml:space="preserve">Emissions are categorized into Scope 1 (direct), Scope 2 (purchased energy), and Scope 3 (value chain) as per GHG Protocol requirements.</w:t>
      </w:r>
    </w:p>
    <w:p>
      <w:pPr>
        <w:numPr>
          <w:ilvl w:val="0"/>
          <w:numId w:val="1009"/>
        </w:numPr>
        <w:pStyle w:val="Compact"/>
      </w:pPr>
      <w:r>
        <w:rPr>
          <w:bCs/>
          <w:b/>
        </w:rPr>
        <w:t xml:space="preserve">Scope 1 Emissions (Direct):</w:t>
      </w:r>
      <w:r>
        <w:t xml:space="preserve"> </w:t>
      </w:r>
      <w:r>
        <w:t xml:space="preserve">Emissions from sources owned or controlled by swvjpfdjdu (e.g., on-site fuel combustion).</w:t>
      </w:r>
    </w:p>
    <w:p>
      <w:pPr>
        <w:numPr>
          <w:ilvl w:val="0"/>
          <w:numId w:val="1009"/>
        </w:numPr>
        <w:pStyle w:val="Compact"/>
      </w:pPr>
      <w:r>
        <w:rPr>
          <w:bCs/>
          <w:b/>
        </w:rPr>
        <w:t xml:space="preserve">Scope 2 Emissions (Energy Indirect):</w:t>
      </w:r>
      <w:r>
        <w:t xml:space="preserve"> </w:t>
      </w:r>
      <w:r>
        <w:t xml:space="preserve">Emissions from the generation of purchased electricity, heat, or steam consumed by swvjpfdjdu.</w:t>
      </w:r>
    </w:p>
    <w:p>
      <w:pPr>
        <w:numPr>
          <w:ilvl w:val="0"/>
          <w:numId w:val="1009"/>
        </w:numPr>
        <w:pStyle w:val="Compact"/>
      </w:pPr>
      <w:r>
        <w:rPr>
          <w:bCs/>
          <w:b/>
        </w:rPr>
        <w:t xml:space="preserve">Scope 3 Emissions (Value Chain Indirect):</w:t>
      </w:r>
      <w:r>
        <w:t xml:space="preserve"> </w:t>
      </w:r>
      <w:r>
        <w:t xml:space="preserve">All other indirect emissions both upstream and downstream in the value chain.</w:t>
      </w:r>
    </w:p>
    <w:bookmarkEnd w:id="29"/>
    <w:bookmarkStart w:id="30" w:name="lsr-update-application"/>
    <w:p>
      <w:pPr>
        <w:pStyle w:val="Heading3"/>
      </w:pPr>
      <w:r>
        <w:t xml:space="preserve">2026 LSR Update Application</w:t>
      </w:r>
    </w:p>
    <w:p>
      <w:pPr>
        <w:pStyle w:val="FirstParagraph"/>
      </w:pPr>
      <w:r>
        <w:t xml:space="preserve">While specific land-use change data was not provided for this product, the analysis acknowledges and aligns with the principles of the 2026 Land Sector and Removals (LSR) Standard. If land-intensive raw materials or direct land-use changes were identified, their associated emissions or removals would be systematically accounted for.</w:t>
      </w:r>
    </w:p>
    <w:bookmarkEnd w:id="30"/>
    <w:bookmarkStart w:id="31" w:name="scope-3-compliance"/>
    <w:p>
      <w:pPr>
        <w:pStyle w:val="Heading3"/>
      </w:pPr>
      <w:r>
        <w:t xml:space="preserve">Scope 3 Compliance</w:t>
      </w:r>
    </w:p>
    <w:p>
      <w:pPr>
        <w:pStyle w:val="FirstParagraph"/>
      </w:pPr>
      <w:r>
        <w:t xml:space="preserve">A rigorous approach was taken to ensure comprehensive Scope 3 reporting, targeting at least 95% coverage for all relevant categories as per 2026 requirements, utilizing the detailed BOM and logistics data.</w:t>
      </w:r>
    </w:p>
    <w:bookmarkEnd w:id="31"/>
    <w:bookmarkStart w:id="37" w:name="emission-calculation-breakdown"/>
    <w:p>
      <w:pPr>
        <w:pStyle w:val="Heading3"/>
      </w:pPr>
      <w:r>
        <w:t xml:space="preserve">Emission Calculation Breakdown</w:t>
      </w:r>
    </w:p>
    <w:bookmarkStart w:id="32" w:name="Xff31e690bfe279af69cf88b9219fe5d56042afb"/>
    <w:p>
      <w:pPr>
        <w:pStyle w:val="Heading4"/>
      </w:pPr>
      <w:r>
        <w:t xml:space="preserve">1. Raw Material Acquisition &amp; Pre-processing (Scope 3 - Upstream)</w:t>
      </w:r>
    </w:p>
    <w:p>
      <w:pPr>
        <w:numPr>
          <w:ilvl w:val="0"/>
          <w:numId w:val="1010"/>
        </w:numPr>
        <w:pStyle w:val="Compact"/>
      </w:pPr>
      <w:r>
        <w:rPr>
          <w:bCs/>
          <w:b/>
        </w:rPr>
        <w:t xml:space="preserve">Total Material Carbon Impact:</w:t>
      </w:r>
      <w:r>
        <w:t xml:space="preserve"> </w:t>
      </w:r>
      <w:r>
        <w:t xml:space="preserve">10.35 kg CO2e (Directly from provided BOM data).</w:t>
      </w:r>
    </w:p>
    <w:bookmarkEnd w:id="32"/>
    <w:bookmarkStart w:id="33" w:name="manufacturing-scope-1-2"/>
    <w:p>
      <w:pPr>
        <w:pStyle w:val="Heading4"/>
      </w:pPr>
      <w:r>
        <w:t xml:space="preserve">2. Manufacturing (Scope 1 &amp; 2)</w:t>
      </w:r>
    </w:p>
    <w:p>
      <w:pPr>
        <w:numPr>
          <w:ilvl w:val="0"/>
          <w:numId w:val="1011"/>
        </w:numPr>
        <w:pStyle w:val="Compact"/>
      </w:pPr>
      <w:r>
        <w:rPr>
          <w:bCs/>
          <w:b/>
        </w:rPr>
        <w:t xml:space="preserve">Energy Intensity:</w:t>
      </w:r>
      <w:r>
        <w:t xml:space="preserve"> </w:t>
      </w:r>
      <w:r>
        <w:t xml:space="preserve">15 kWh/unit</w:t>
      </w:r>
    </w:p>
    <w:p>
      <w:pPr>
        <w:numPr>
          <w:ilvl w:val="0"/>
          <w:numId w:val="1011"/>
        </w:numPr>
        <w:pStyle w:val="Compact"/>
      </w:pPr>
      <w:r>
        <w:rPr>
          <w:bCs/>
          <w:b/>
        </w:rPr>
        <w:t xml:space="preserve">Renewable Energy Usage:</w:t>
      </w:r>
      <w:r>
        <w:t xml:space="preserve"> </w:t>
      </w:r>
      <w:r>
        <w:t xml:space="preserve">30%</w:t>
      </w:r>
    </w:p>
    <w:p>
      <w:pPr>
        <w:numPr>
          <w:ilvl w:val="0"/>
          <w:numId w:val="1011"/>
        </w:numPr>
        <w:pStyle w:val="Compact"/>
      </w:pPr>
      <w:r>
        <w:rPr>
          <w:bCs/>
          <w:b/>
        </w:rPr>
        <w:t xml:space="preserve">Non-renewable Electricity:</w:t>
      </w:r>
      <w:r>
        <w:t xml:space="preserve"> </w:t>
      </w:r>
      <w:r>
        <w:t xml:space="preserve">15 kWh * (1 - 0.30) = 10.5 kWh</w:t>
      </w:r>
    </w:p>
    <w:p>
      <w:pPr>
        <w:numPr>
          <w:ilvl w:val="0"/>
          <w:numId w:val="1011"/>
        </w:numPr>
        <w:pStyle w:val="Compact"/>
      </w:pPr>
      <w:r>
        <w:rPr>
          <w:bCs/>
          <w:b/>
        </w:rPr>
        <w:t xml:space="preserve">Renewable Electricity:</w:t>
      </w:r>
      <w:r>
        <w:t xml:space="preserve"> </w:t>
      </w:r>
      <w:r>
        <w:t xml:space="preserve">15 kWh * 0.30 = 4.5 kWh</w:t>
      </w:r>
    </w:p>
    <w:p>
      <w:pPr>
        <w:numPr>
          <w:ilvl w:val="0"/>
          <w:numId w:val="1011"/>
        </w:numPr>
        <w:pStyle w:val="Compact"/>
      </w:pPr>
      <w:r>
        <w:rPr>
          <w:bCs/>
          <w:b/>
        </w:rPr>
        <w:t xml:space="preserve">Emission Factor (China Grid Average for non-renewables, illustrative):</w:t>
      </w:r>
      <w:r>
        <w:t xml:space="preserve"> </w:t>
      </w:r>
      <w:r>
        <w:t xml:space="preserve">0.6 kg CO2e/kWh</w:t>
      </w:r>
    </w:p>
    <w:p>
      <w:pPr>
        <w:numPr>
          <w:ilvl w:val="0"/>
          <w:numId w:val="1011"/>
        </w:numPr>
        <w:pStyle w:val="Compact"/>
      </w:pPr>
      <w:r>
        <w:rPr>
          <w:bCs/>
          <w:b/>
        </w:rPr>
        <w:t xml:space="preserve">Emission Factor (Renewable Energy, upstream minor, illustrative):</w:t>
      </w:r>
      <w:r>
        <w:t xml:space="preserve"> </w:t>
      </w:r>
      <w:r>
        <w:t xml:space="preserve">0.05 kg CO2e/kWh</w:t>
      </w:r>
    </w:p>
    <w:p>
      <w:pPr>
        <w:numPr>
          <w:ilvl w:val="0"/>
          <w:numId w:val="1011"/>
        </w:numPr>
        <w:pStyle w:val="Compact"/>
      </w:pPr>
      <w:r>
        <w:rPr>
          <w:bCs/>
          <w:b/>
        </w:rPr>
        <w:t xml:space="preserve">Scope 2 Emissions (Electricity):</w:t>
      </w:r>
      <w:r>
        <w:t xml:space="preserve"> </w:t>
      </w:r>
      <w:r>
        <w:t xml:space="preserve">(10.5 kWh * 0.6 kg CO2e/kWh) + (4.5 kWh * 0.05 kg CO2e/kWh) = 6.3 kg CO2e + 0.225 kg CO2e = 6.525 kg CO2e</w:t>
      </w:r>
    </w:p>
    <w:p>
      <w:pPr>
        <w:numPr>
          <w:ilvl w:val="0"/>
          <w:numId w:val="1011"/>
        </w:numPr>
        <w:pStyle w:val="Compact"/>
      </w:pPr>
      <w:r>
        <w:rPr>
          <w:bCs/>
          <w:b/>
        </w:rPr>
        <w:t xml:space="preserve">Scope 1 Emissions (Direct, assumed minor for on-site processes):</w:t>
      </w:r>
      <w:r>
        <w:t xml:space="preserve"> </w:t>
      </w:r>
      <w:r>
        <w:t xml:space="preserve">0.5 kg CO2e (illustrative)</w:t>
      </w:r>
    </w:p>
    <w:p>
      <w:pPr>
        <w:numPr>
          <w:ilvl w:val="0"/>
          <w:numId w:val="1011"/>
        </w:numPr>
        <w:pStyle w:val="Compact"/>
      </w:pPr>
      <w:r>
        <w:rPr>
          <w:bCs/>
          <w:b/>
        </w:rPr>
        <w:t xml:space="preserve">Total Manufacturing Emissions:</w:t>
      </w:r>
      <w:r>
        <w:t xml:space="preserve"> </w:t>
      </w:r>
      <w:r>
        <w:t xml:space="preserve">6.525 kg CO2e (Scope 2) + 0.5 kg CO2e (Scope 1) =</w:t>
      </w:r>
      <w:r>
        <w:t xml:space="preserve"> </w:t>
      </w:r>
      <w:r>
        <w:rPr>
          <w:bCs/>
          <w:b/>
        </w:rPr>
        <w:t xml:space="preserve">7.025 kg CO2e</w:t>
      </w:r>
    </w:p>
    <w:bookmarkEnd w:id="33"/>
    <w:bookmarkStart w:id="34" w:name="transport-scope-3---upstream-downstream"/>
    <w:p>
      <w:pPr>
        <w:pStyle w:val="Heading4"/>
      </w:pPr>
      <w:r>
        <w:t xml:space="preserve">3. Transport (Scope 3 - Upstream &amp; Downstream)</w:t>
      </w:r>
    </w:p>
    <w:p>
      <w:pPr>
        <w:numPr>
          <w:ilvl w:val="0"/>
          <w:numId w:val="1012"/>
        </w:numPr>
        <w:pStyle w:val="Compact"/>
      </w:pPr>
      <w:r>
        <w:rPr>
          <w:bCs/>
          <w:b/>
        </w:rPr>
        <w:t xml:space="preserve">Product Weight (total from BOM):</w:t>
      </w:r>
      <w:r>
        <w:t xml:space="preserve"> </w:t>
      </w:r>
      <w:r>
        <w:t xml:space="preserve">3.95 kg (0.00395 tonnes)</w:t>
      </w:r>
    </w:p>
    <w:p>
      <w:pPr>
        <w:numPr>
          <w:ilvl w:val="0"/>
          <w:numId w:val="1012"/>
        </w:numPr>
        <w:pStyle w:val="Compact"/>
      </w:pPr>
      <w:r>
        <w:rPr>
          <w:bCs/>
          <w:b/>
        </w:rPr>
        <w:t xml:space="preserve">Emission Factor (Road Freight, Heavy Duty Truck, illustrative):</w:t>
      </w:r>
      <w:r>
        <w:t xml:space="preserve"> </w:t>
      </w:r>
      <w:r>
        <w:t xml:space="preserve">0.08 kg CO2e/tkm</w:t>
      </w:r>
    </w:p>
    <w:p>
      <w:pPr>
        <w:numPr>
          <w:ilvl w:val="0"/>
          <w:numId w:val="1012"/>
        </w:numPr>
        <w:pStyle w:val="Compact"/>
      </w:pPr>
      <w:r>
        <w:rPr>
          <w:bCs/>
          <w:b/>
        </w:rPr>
        <w:t xml:space="preserve">Upstream Transport Emissions:</w:t>
      </w:r>
      <w:r>
        <w:t xml:space="preserve"> </w:t>
      </w:r>
      <w:r>
        <w:t xml:space="preserve">0.00395 tonnes * 1500 km * 0.08 kg CO2e/tkm = 0.474 kg CO2e</w:t>
      </w:r>
    </w:p>
    <w:p>
      <w:pPr>
        <w:numPr>
          <w:ilvl w:val="0"/>
          <w:numId w:val="1012"/>
        </w:numPr>
        <w:pStyle w:val="Compact"/>
      </w:pPr>
      <w:r>
        <w:rPr>
          <w:bCs/>
          <w:b/>
        </w:rPr>
        <w:t xml:space="preserve">Downstream Transport Emissions (Factory to Distribution):</w:t>
      </w:r>
      <w:r>
        <w:t xml:space="preserve"> </w:t>
      </w:r>
      <w:r>
        <w:t xml:space="preserve">0.00395 tonnes * 500 km * 0.08 kg CO2e/tkm = 0.158 kg CO2e</w:t>
      </w:r>
    </w:p>
    <w:p>
      <w:pPr>
        <w:numPr>
          <w:ilvl w:val="0"/>
          <w:numId w:val="1012"/>
        </w:numPr>
        <w:pStyle w:val="Compact"/>
      </w:pPr>
      <w:r>
        <w:rPr>
          <w:bCs/>
          <w:b/>
        </w:rPr>
        <w:t xml:space="preserve">Last-Mile Delivery Emission Factor (Parcel Van, illustrative):</w:t>
      </w:r>
      <w:r>
        <w:t xml:space="preserve"> </w:t>
      </w:r>
      <w:r>
        <w:t xml:space="preserve">0.25 kg CO2e/delivery (assumed for 50 km per unit)</w:t>
      </w:r>
    </w:p>
    <w:p>
      <w:pPr>
        <w:numPr>
          <w:ilvl w:val="0"/>
          <w:numId w:val="1012"/>
        </w:numPr>
        <w:pStyle w:val="Compact"/>
      </w:pPr>
      <w:r>
        <w:rPr>
          <w:bCs/>
          <w:b/>
        </w:rPr>
        <w:t xml:space="preserve">Last-Mile Delivery Emissions:</w:t>
      </w:r>
      <w:r>
        <w:t xml:space="preserve"> </w:t>
      </w:r>
      <w:r>
        <w:t xml:space="preserve">0.25 kg CO2e</w:t>
      </w:r>
    </w:p>
    <w:p>
      <w:pPr>
        <w:numPr>
          <w:ilvl w:val="0"/>
          <w:numId w:val="1012"/>
        </w:numPr>
        <w:pStyle w:val="Compact"/>
      </w:pPr>
      <w:r>
        <w:rPr>
          <w:bCs/>
          <w:b/>
        </w:rPr>
        <w:t xml:space="preserve">Total Transport Emissions:</w:t>
      </w:r>
      <w:r>
        <w:t xml:space="preserve"> </w:t>
      </w:r>
      <w:r>
        <w:t xml:space="preserve">0.474 + 0.158 + 0.25 =</w:t>
      </w:r>
      <w:r>
        <w:t xml:space="preserve"> </w:t>
      </w:r>
      <w:r>
        <w:rPr>
          <w:bCs/>
          <w:b/>
        </w:rPr>
        <w:t xml:space="preserve">0.882 kg CO2e</w:t>
      </w:r>
    </w:p>
    <w:bookmarkEnd w:id="34"/>
    <w:bookmarkStart w:id="35" w:name="use-phase-scope-3---downstream"/>
    <w:p>
      <w:pPr>
        <w:pStyle w:val="Heading4"/>
      </w:pPr>
      <w:r>
        <w:t xml:space="preserve">4. Use Phase (Scope 3 - Downstream)</w:t>
      </w:r>
    </w:p>
    <w:p>
      <w:pPr>
        <w:numPr>
          <w:ilvl w:val="0"/>
          <w:numId w:val="1013"/>
        </w:numPr>
        <w:pStyle w:val="Compact"/>
      </w:pPr>
      <w:r>
        <w:rPr>
          <w:bCs/>
          <w:b/>
        </w:rPr>
        <w:t xml:space="preserve">Product Lifespan:</w:t>
      </w:r>
      <w:r>
        <w:t xml:space="preserve"> </w:t>
      </w:r>
      <w:r>
        <w:t xml:space="preserve">5 years</w:t>
      </w:r>
    </w:p>
    <w:p>
      <w:pPr>
        <w:numPr>
          <w:ilvl w:val="0"/>
          <w:numId w:val="1013"/>
        </w:numPr>
        <w:pStyle w:val="Compact"/>
      </w:pPr>
      <w:r>
        <w:rPr>
          <w:bCs/>
          <w:b/>
        </w:rPr>
        <w:t xml:space="preserve">Energy Consumption in Use:</w:t>
      </w:r>
      <w:r>
        <w:t xml:space="preserve"> </w:t>
      </w:r>
      <w:r>
        <w:t xml:space="preserve">10 kWh/year</w:t>
      </w:r>
    </w:p>
    <w:p>
      <w:pPr>
        <w:numPr>
          <w:ilvl w:val="0"/>
          <w:numId w:val="1013"/>
        </w:numPr>
        <w:pStyle w:val="Compact"/>
      </w:pPr>
      <w:r>
        <w:rPr>
          <w:bCs/>
          <w:b/>
        </w:rPr>
        <w:t xml:space="preserve">Total Energy Consumption over Lifespan:</w:t>
      </w:r>
      <w:r>
        <w:t xml:space="preserve"> </w:t>
      </w:r>
      <w:r>
        <w:t xml:space="preserve">10 kWh/year * 5 years = 50 kWh</w:t>
      </w:r>
    </w:p>
    <w:p>
      <w:pPr>
        <w:numPr>
          <w:ilvl w:val="0"/>
          <w:numId w:val="1013"/>
        </w:numPr>
        <w:pStyle w:val="Compact"/>
      </w:pPr>
      <w:r>
        <w:rPr>
          <w:bCs/>
          <w:b/>
        </w:rPr>
        <w:t xml:space="preserve">Emission Factor (Average user electricity mix, illustrative):</w:t>
      </w:r>
      <w:r>
        <w:t xml:space="preserve"> </w:t>
      </w:r>
      <w:r>
        <w:t xml:space="preserve">0.4 kg CO2e/kWh</w:t>
      </w:r>
    </w:p>
    <w:p>
      <w:pPr>
        <w:numPr>
          <w:ilvl w:val="0"/>
          <w:numId w:val="1013"/>
        </w:numPr>
        <w:pStyle w:val="Compact"/>
      </w:pPr>
      <w:r>
        <w:rPr>
          <w:bCs/>
          <w:b/>
        </w:rPr>
        <w:t xml:space="preserve">Total Use Phase Emissions:</w:t>
      </w:r>
      <w:r>
        <w:t xml:space="preserve"> </w:t>
      </w:r>
      <w:r>
        <w:t xml:space="preserve">50 kWh * 0.4 kg CO2e/kWh =</w:t>
      </w:r>
      <w:r>
        <w:t xml:space="preserve"> </w:t>
      </w:r>
      <w:r>
        <w:rPr>
          <w:bCs/>
          <w:b/>
        </w:rPr>
        <w:t xml:space="preserve">20.0 kg CO2e</w:t>
      </w:r>
    </w:p>
    <w:bookmarkEnd w:id="35"/>
    <w:bookmarkStart w:id="36" w:name="end-of-life-eol-scope-3---downstream"/>
    <w:p>
      <w:pPr>
        <w:pStyle w:val="Heading4"/>
      </w:pPr>
      <w:r>
        <w:t xml:space="preserve">5. End-of-Life (EoL) (Scope 3 - Downstream)</w:t>
      </w:r>
    </w:p>
    <w:p>
      <w:pPr>
        <w:numPr>
          <w:ilvl w:val="0"/>
          <w:numId w:val="1014"/>
        </w:numPr>
        <w:pStyle w:val="Compact"/>
      </w:pPr>
      <w:r>
        <w:rPr>
          <w:bCs/>
          <w:b/>
        </w:rPr>
        <w:t xml:space="preserve">Recyclability Percentage:</w:t>
      </w:r>
      <w:r>
        <w:t xml:space="preserve"> </w:t>
      </w:r>
      <w:r>
        <w:t xml:space="preserve">70%</w:t>
      </w:r>
    </w:p>
    <w:p>
      <w:pPr>
        <w:numPr>
          <w:ilvl w:val="0"/>
          <w:numId w:val="1014"/>
        </w:numPr>
        <w:pStyle w:val="Compact"/>
      </w:pPr>
      <w:r>
        <w:rPr>
          <w:bCs/>
          <w:b/>
        </w:rPr>
        <w:t xml:space="preserve">Product Weight:</w:t>
      </w:r>
      <w:r>
        <w:t xml:space="preserve"> </w:t>
      </w:r>
      <w:r>
        <w:t xml:space="preserve">3.95 kg</w:t>
      </w:r>
    </w:p>
    <w:p>
      <w:pPr>
        <w:numPr>
          <w:ilvl w:val="0"/>
          <w:numId w:val="1014"/>
        </w:numPr>
        <w:pStyle w:val="Compact"/>
      </w:pPr>
      <w:r>
        <w:rPr>
          <w:bCs/>
          <w:b/>
        </w:rPr>
        <w:t xml:space="preserve">Recycled Portion:</w:t>
      </w:r>
      <w:r>
        <w:t xml:space="preserve"> </w:t>
      </w:r>
      <w:r>
        <w:t xml:space="preserve">3.95 kg * 0.70 = 2.765 kg</w:t>
      </w:r>
    </w:p>
    <w:p>
      <w:pPr>
        <w:numPr>
          <w:ilvl w:val="0"/>
          <w:numId w:val="1014"/>
        </w:numPr>
        <w:pStyle w:val="Compact"/>
      </w:pPr>
      <w:r>
        <w:rPr>
          <w:bCs/>
          <w:b/>
        </w:rPr>
        <w:t xml:space="preserve">Emission Factor (Recycling Credit / Avoided Emissions, illustrative):</w:t>
      </w:r>
      <w:r>
        <w:t xml:space="preserve"> </w:t>
      </w:r>
      <w:r>
        <w:t xml:space="preserve">-1.0 kg CO2e/kg (average for mixed materials)</w:t>
      </w:r>
    </w:p>
    <w:p>
      <w:pPr>
        <w:numPr>
          <w:ilvl w:val="0"/>
          <w:numId w:val="1014"/>
        </w:numPr>
        <w:pStyle w:val="Compact"/>
      </w:pPr>
      <w:r>
        <w:rPr>
          <w:bCs/>
          <w:b/>
        </w:rPr>
        <w:t xml:space="preserve">Avoided Emissions from Recycling:</w:t>
      </w:r>
      <w:r>
        <w:t xml:space="preserve"> </w:t>
      </w:r>
      <w:r>
        <w:t xml:space="preserve">2.765 kg * -1.0 kg CO2e/kg = -2.765 kg CO2e</w:t>
      </w:r>
    </w:p>
    <w:p>
      <w:pPr>
        <w:numPr>
          <w:ilvl w:val="0"/>
          <w:numId w:val="1014"/>
        </w:numPr>
        <w:pStyle w:val="Compact"/>
      </w:pPr>
      <w:r>
        <w:rPr>
          <w:bCs/>
          <w:b/>
        </w:rPr>
        <w:t xml:space="preserve">Remaining Disposal (30% to landfill/incineration, assumed minor positive emission):</w:t>
      </w:r>
      <w:r>
        <w:t xml:space="preserve"> </w:t>
      </w:r>
      <w:r>
        <w:t xml:space="preserve">0.1 kg CO2e (illustrative)</w:t>
      </w:r>
    </w:p>
    <w:p>
      <w:pPr>
        <w:numPr>
          <w:ilvl w:val="0"/>
          <w:numId w:val="1014"/>
        </w:numPr>
        <w:pStyle w:val="Compact"/>
      </w:pPr>
      <w:r>
        <w:rPr>
          <w:bCs/>
          <w:b/>
        </w:rPr>
        <w:t xml:space="preserve">Total EoL Impact:</w:t>
      </w:r>
      <w:r>
        <w:t xml:space="preserve"> </w:t>
      </w:r>
      <w:r>
        <w:t xml:space="preserve">-2.765 kg CO2e + 0.1 kg CO2e =</w:t>
      </w:r>
      <w:r>
        <w:t xml:space="preserve"> </w:t>
      </w:r>
      <w:r>
        <w:rPr>
          <w:bCs/>
          <w:b/>
        </w:rPr>
        <w:t xml:space="preserve">-2.665 kg CO2e</w:t>
      </w:r>
      <w:r>
        <w:t xml:space="preserve"> </w:t>
      </w:r>
      <w:r>
        <w:t xml:space="preserve">(net benefit)</w:t>
      </w:r>
    </w:p>
    <w:bookmarkEnd w:id="36"/>
    <w:bookmarkEnd w:id="37"/>
    <w:bookmarkStart w:id="38" w:name="X7a3c91ea1acee132d1fc9adc99704c7a9c199d5"/>
    <w:p>
      <w:pPr>
        <w:pStyle w:val="Heading3"/>
      </w:pPr>
      <w:r>
        <w:t xml:space="preserve">Summary of Emissions by Lifecycle Stage and Scope</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Scope 1 (kg CO2e)</w:t>
            </w:r>
          </w:p>
        </w:tc>
        <w:tc>
          <w:tcPr/>
          <w:p>
            <w:pPr>
              <w:pStyle w:val="Compact"/>
              <w:jc w:val="left"/>
            </w:pPr>
            <w:r>
              <w:t xml:space="preserve">Scope 2 (kg CO2e)</w:t>
            </w:r>
          </w:p>
        </w:tc>
        <w:tc>
          <w:tcPr/>
          <w:p>
            <w:pPr>
              <w:pStyle w:val="Compact"/>
              <w:jc w:val="left"/>
            </w:pPr>
            <w:r>
              <w:t xml:space="preserve">Scope 3 (kg CO2e)</w:t>
            </w:r>
          </w:p>
        </w:tc>
        <w:tc>
          <w:tcPr/>
          <w:p>
            <w:pPr>
              <w:pStyle w:val="Compact"/>
              <w:jc w:val="left"/>
            </w:pPr>
            <w:r>
              <w:t xml:space="preserve">Total (kg CO2e)</w:t>
            </w:r>
          </w:p>
        </w:tc>
      </w:tr>
      <w:tr>
        <w:tc>
          <w:tcPr/>
          <w:p>
            <w:pPr>
              <w:pStyle w:val="Compact"/>
              <w:jc w:val="left"/>
            </w:pPr>
            <w:r>
              <w:t xml:space="preserve">Raw Material Acquisition</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10.35</w:t>
            </w:r>
          </w:p>
        </w:tc>
        <w:tc>
          <w:tcPr/>
          <w:p>
            <w:pPr>
              <w:pStyle w:val="Compact"/>
              <w:jc w:val="left"/>
            </w:pPr>
            <w:r>
              <w:t xml:space="preserve">10.35</w:t>
            </w:r>
          </w:p>
        </w:tc>
      </w:tr>
      <w:tr>
        <w:tc>
          <w:tcPr/>
          <w:p>
            <w:pPr>
              <w:pStyle w:val="Compact"/>
              <w:jc w:val="left"/>
            </w:pPr>
            <w:r>
              <w:t xml:space="preserve">Manufacturing</w:t>
            </w:r>
          </w:p>
        </w:tc>
        <w:tc>
          <w:tcPr/>
          <w:p>
            <w:pPr>
              <w:pStyle w:val="Compact"/>
              <w:jc w:val="left"/>
            </w:pPr>
            <w:r>
              <w:t xml:space="preserve">0.50</w:t>
            </w:r>
          </w:p>
        </w:tc>
        <w:tc>
          <w:tcPr/>
          <w:p>
            <w:pPr>
              <w:pStyle w:val="Compact"/>
              <w:jc w:val="left"/>
            </w:pPr>
            <w:r>
              <w:t xml:space="preserve">6.525</w:t>
            </w:r>
          </w:p>
        </w:tc>
        <w:tc>
          <w:tcPr/>
          <w:p>
            <w:pPr>
              <w:pStyle w:val="Compact"/>
              <w:jc w:val="left"/>
            </w:pPr>
            <w:r>
              <w:t xml:space="preserve">0.00</w:t>
            </w:r>
          </w:p>
        </w:tc>
        <w:tc>
          <w:tcPr/>
          <w:p>
            <w:pPr>
              <w:pStyle w:val="Compact"/>
              <w:jc w:val="left"/>
            </w:pPr>
            <w:r>
              <w:t xml:space="preserve">7.025</w:t>
            </w:r>
          </w:p>
        </w:tc>
      </w:tr>
      <w:tr>
        <w:tc>
          <w:tcPr/>
          <w:p>
            <w:pPr>
              <w:pStyle w:val="Compact"/>
              <w:jc w:val="left"/>
            </w:pPr>
            <w:r>
              <w:t xml:space="preserve">Transport</w:t>
            </w:r>
          </w:p>
        </w:tc>
        <w:tc>
          <w:tcPr/>
          <w:p>
            <w:pPr>
              <w:pStyle w:val="Compact"/>
              <w:jc w:val="left"/>
            </w:pPr>
            <w:r>
              <w:t xml:space="preserve">0.00</w:t>
            </w:r>
          </w:p>
        </w:tc>
        <w:tc>
          <w:tcPr/>
          <w:p>
            <w:pPr>
              <w:pStyle w:val="Compact"/>
              <w:jc w:val="left"/>
            </w:pPr>
            <w:r>
              <w:t xml:space="preserve">0.00</w:t>
            </w:r>
          </w:p>
        </w:tc>
        <w:tc>
          <w:tcPr/>
          <w:p>
            <w:pPr>
              <w:pStyle w:val="Compact"/>
              <w:jc w:val="left"/>
            </w:pPr>
            <w:r>
              <w:t xml:space="preserve">0.882</w:t>
            </w:r>
          </w:p>
        </w:tc>
        <w:tc>
          <w:tcPr/>
          <w:p>
            <w:pPr>
              <w:pStyle w:val="Compact"/>
              <w:jc w:val="left"/>
            </w:pPr>
            <w:r>
              <w:t xml:space="preserve">0.882</w:t>
            </w:r>
          </w:p>
        </w:tc>
      </w:tr>
      <w:tr>
        <w:tc>
          <w:tcPr/>
          <w:p>
            <w:pPr>
              <w:pStyle w:val="Compact"/>
              <w:jc w:val="left"/>
            </w:pPr>
            <w:r>
              <w:t xml:space="preserve">Use Phase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20.00</w:t>
            </w:r>
          </w:p>
        </w:tc>
        <w:tc>
          <w:tcPr/>
          <w:p>
            <w:pPr>
              <w:pStyle w:val="Compact"/>
              <w:jc w:val="left"/>
            </w:pPr>
            <w:r>
              <w:t xml:space="preserve">20.00</w:t>
            </w:r>
          </w:p>
        </w:tc>
      </w:tr>
      <w:tr>
        <w:tc>
          <w:tcPr/>
          <w:p>
            <w:pPr>
              <w:pStyle w:val="Compact"/>
              <w:jc w:val="left"/>
            </w:pPr>
            <w:r>
              <w:t xml:space="preserve">End-of-Life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-2.665</w:t>
            </w:r>
          </w:p>
        </w:tc>
        <w:tc>
          <w:tcPr/>
          <w:p>
            <w:pPr>
              <w:pStyle w:val="Compact"/>
              <w:jc w:val="left"/>
            </w:pPr>
            <w:r>
              <w:t xml:space="preserve">-2.665</w:t>
            </w:r>
          </w:p>
        </w:tc>
      </w:tr>
      <w:tr>
        <w:tc>
          <w:tcPr/>
          <w:p>
            <w:pPr>
              <w:pStyle w:val="Compact"/>
              <w:jc w:val="left"/>
            </w:pPr>
            <w:r>
              <w:rPr>
                <w:bCs/>
                <w:b/>
              </w:rPr>
              <w:t xml:space="preserve">Grand Total PCF</w:t>
            </w:r>
          </w:p>
        </w:tc>
        <w:tc>
          <w:tcPr/>
          <w:p>
            <w:pPr>
              <w:pStyle w:val="Compact"/>
              <w:jc w:val="left"/>
            </w:pPr>
            <w:r>
              <w:rPr>
                <w:bCs/>
                <w:b/>
              </w:rPr>
              <w:t xml:space="preserve">0.50</w:t>
            </w:r>
          </w:p>
        </w:tc>
        <w:tc>
          <w:tcPr/>
          <w:p>
            <w:pPr>
              <w:pStyle w:val="Compact"/>
              <w:jc w:val="left"/>
            </w:pPr>
            <w:r>
              <w:rPr>
                <w:bCs/>
                <w:b/>
              </w:rPr>
              <w:t xml:space="preserve">6.525</w:t>
            </w:r>
          </w:p>
        </w:tc>
        <w:tc>
          <w:tcPr/>
          <w:p>
            <w:pPr>
              <w:pStyle w:val="Compact"/>
              <w:jc w:val="left"/>
            </w:pPr>
            <w:r>
              <w:rPr>
                <w:bCs/>
                <w:b/>
              </w:rPr>
              <w:t xml:space="preserve">28.567</w:t>
            </w:r>
          </w:p>
        </w:tc>
        <w:tc>
          <w:tcPr/>
          <w:p>
            <w:pPr>
              <w:pStyle w:val="Compact"/>
              <w:jc w:val="left"/>
            </w:pPr>
            <w:r>
              <w:rPr>
                <w:bCs/>
                <w:b/>
              </w:rPr>
              <w:t xml:space="preserve">35.592 ≈ 35.6 kg CO2e</w:t>
            </w:r>
          </w:p>
        </w:tc>
      </w:tr>
    </w:tbl>
    <w:p>
      <w:r>
        <w:pict>
          <v:rect style="width:0;height:1.5pt" o:hralign="center" o:hrstd="t" o:hr="t"/>
        </w:pict>
      </w:r>
    </w:p>
    <w:bookmarkEnd w:id="38"/>
    <w:bookmarkEnd w:id="39"/>
    <w:bookmarkStart w:id="43" w:name="review-report"/>
    <w:p>
      <w:pPr>
        <w:pStyle w:val="Heading2"/>
      </w:pPr>
      <w:r>
        <w:t xml:space="preserve">5. Review &amp; Report</w:t>
      </w:r>
    </w:p>
    <w:bookmarkStart w:id="40" w:name="hotspot-analysis"/>
    <w:p>
      <w:pPr>
        <w:pStyle w:val="Heading3"/>
      </w:pPr>
      <w:r>
        <w:t xml:space="preserve">Hotspot Analysis</w:t>
      </w:r>
    </w:p>
    <w:p>
      <w:pPr>
        <w:pStyle w:val="FirstParagraph"/>
      </w:pPr>
      <w:r>
        <w:t xml:space="preserve">The primary hotspots for the thjzysetth product\'s carbon footprint are:</w:t>
      </w:r>
    </w:p>
    <w:p>
      <w:pPr>
        <w:numPr>
          <w:ilvl w:val="0"/>
          <w:numId w:val="1015"/>
        </w:numPr>
        <w:pStyle w:val="Compact"/>
      </w:pPr>
      <w:r>
        <w:rPr>
          <w:bCs/>
          <w:b/>
        </w:rPr>
        <w:t xml:space="preserve">Use Phase (20.0 kg CO2e):</w:t>
      </w:r>
      <w:r>
        <w:t xml:space="preserve"> </w:t>
      </w:r>
      <w:r>
        <w:t xml:space="preserve">This stage represents the largest contribution, driven by the product\'s energy consumption over its 5-year lifespan. Optimizing energy efficiency during product design and educating consumers on sustainable use can significantly reduce this impact.</w:t>
      </w:r>
    </w:p>
    <w:p>
      <w:pPr>
        <w:numPr>
          <w:ilvl w:val="0"/>
          <w:numId w:val="1015"/>
        </w:numPr>
        <w:pStyle w:val="Compact"/>
      </w:pPr>
      <w:r>
        <w:rPr>
          <w:bCs/>
          <w:b/>
        </w:rPr>
        <w:t xml:space="preserve">Raw Material Acquisition (10.35 kg CO2e):</w:t>
      </w:r>
      <w:r>
        <w:t xml:space="preserve"> </w:t>
      </w:r>
      <w:r>
        <w:t xml:space="preserve">The impact from materials, particularly the steel casing and plastic housing, is substantial. Investigating lighter materials, recycled content, or alternative lower-carbon materials could provide significant reductions.</w:t>
      </w:r>
    </w:p>
    <w:p>
      <w:pPr>
        <w:numPr>
          <w:ilvl w:val="0"/>
          <w:numId w:val="1015"/>
        </w:numPr>
        <w:pStyle w:val="Compact"/>
      </w:pPr>
      <w:r>
        <w:rPr>
          <w:bCs/>
          <w:b/>
        </w:rPr>
        <w:t xml:space="preserve">Manufacturing (7.025 kg CO2e):</w:t>
      </w:r>
      <w:r>
        <w:t xml:space="preserve"> </w:t>
      </w:r>
      <w:r>
        <w:t xml:space="preserve">While robust, there\'s room for improvement, especially by increasing renewable energy usage beyond the current 30% and optimizing energy-intensive processes.</w:t>
      </w:r>
    </w:p>
    <w:bookmarkEnd w:id="40"/>
    <w:bookmarkStart w:id="42" w:name="reliability-statement"/>
    <w:p>
      <w:pPr>
        <w:pStyle w:val="Heading3"/>
      </w:pPr>
      <w:r>
        <w:t xml:space="preserve">Reliability Statement</w:t>
      </w:r>
    </w:p>
    <w:p>
      <w:pPr>
        <w:pStyle w:val="FirstParagraph"/>
      </w:pPr>
      <w:r>
        <w:t xml:space="preserve">This PCF analysis provides a robust estimate based on the provided primary data and industry-standard secondary data. The calculations adhere to the GHG Protocol Product Standard, ensuring transparency and comparability. The use of detailed BOM data enhances accuracy for material impacts. Limitations include the reliance on assumed numerical values for certain placeholder parameters (e.g., transport distance, energy consumption in use) and the use of illustrative emission factors where specific database access was not performed for this report. The Scope 3 coverage is comprehensive, targeting 95% compliance, providing a reliable baseline for strategic sustainability initiatives.</w:t>
      </w:r>
    </w:p>
    <w:p>
      <w:r>
        <w:pict>
          <v:rect style="width:0;height:1.5pt" o:hralign="center" o:hrstd="t" o:hr="t"/>
        </w:pict>
      </w:r>
    </w:p>
    <w:p>
      <w:pPr>
        <w:pStyle w:val="FirstParagraph"/>
      </w:pPr>
      <w:r>
        <w:t xml:space="preserve">Confidential - Internal Use Only | Page</w:t>
      </w:r>
      <w:r>
        <w:t xml:space="preserve"> </w:t>
      </w:r>
      <w:bookmarkStart w:id="41" w:name="page-number"/>
      <w:bookmarkEnd w:id="41"/>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thjzysetth</dc:title>
  <dc:creator/>
  <dc:description>High-detail Product Carbon Footprint (PCF) analysis report for thjzysetth by swvjpfdjdu, adhering to GHG Protocol standards and 2026 LSR updates, prepared by Senior Sustainability Consultant welqflnsvy.</dc:description>
  <dc:language>en</dc:language>
  <cp:keywords/>
  <dcterms:created xsi:type="dcterms:W3CDTF">2026-05-30T11:30:23Z</dcterms:created>
  <dcterms:modified xsi:type="dcterms:W3CDTF">2026-05-30T11:30:23Z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