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thevsulppj</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thevsulppj</w:t>
      </w:r>
    </w:p>
    <w:p>
      <w:pPr>
        <w:pStyle w:val="BodyText"/>
      </w:pPr>
      <w:r>
        <w:rPr>
          <w:bCs/>
          <w:b/>
        </w:rPr>
        <w:t xml:space="preserve">Company Name:</w:t>
      </w:r>
      <w:r>
        <w:t xml:space="preserve"> </w:t>
      </w:r>
      <w:r>
        <w:t xml:space="preserve">eunrpkrrlv</w:t>
      </w:r>
    </w:p>
    <w:p>
      <w:pPr>
        <w:pStyle w:val="BodyText"/>
      </w:pPr>
      <w:r>
        <w:rPr>
          <w:bCs/>
          <w:b/>
        </w:rPr>
        <w:t xml:space="preserve">Senior Sustainability Consultant:</w:t>
      </w:r>
      <w:r>
        <w:t xml:space="preserve"> </w:t>
      </w:r>
      <w:r>
        <w:t xml:space="preserve">sufxqipnpl</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efforts have been made to ensure accuracy, specific values may vary based on real-world conditions and further primary data collection.</w:t>
      </w:r>
    </w:p>
    <w:bookmarkEnd w:id="20"/>
    <w:bookmarkStart w:id="21" w:name="X81c9f193558840a98acd9c7c90d7a23557cf405"/>
    <w:p>
      <w:pPr>
        <w:pStyle w:val="Heading1"/>
      </w:pPr>
      <w:r>
        <w:t xml:space="preserve">Product Carbon Footprint (PCF) Analysis Report for thevsulppj</w:t>
      </w:r>
    </w:p>
    <w:p>
      <w:pPr>
        <w:pStyle w:val="FirstParagraph"/>
      </w:pPr>
      <w:r>
        <w:t xml:space="preserve">Generated Date: May 22, 2026</w:t>
      </w:r>
    </w:p>
    <w:p>
      <w:r>
        <w:pict>
          <v:rect style="width:0;height:1.5pt" o:hralign="center" o:hrstd="t" o:hr="t"/>
        </w:pict>
      </w:r>
    </w:p>
    <w:bookmarkEnd w:id="21"/>
    <w:bookmarkStart w:id="22" w:name="executive-summary"/>
    <w:p>
      <w:pPr>
        <w:pStyle w:val="Heading2"/>
      </w:pPr>
      <w:r>
        <w:t xml:space="preserve">1. Executive Summary</w:t>
      </w:r>
    </w:p>
    <w:p>
      <w:pPr>
        <w:pStyle w:val="FirstParagraph"/>
      </w:pPr>
      <w:r>
        <w:t xml:space="preserve">This report presents a high-detail Product Carbon Footprint (PCF) analysis for the product "thevsulppj," conducted by Senior Sustainability Consultant sufxqipnpl for eunrpkrrlv. Adhering to the GHG Protocol and incorporating the 2026 Land Sector and Removals (LSR) Standard, this analysis provides a comprehensive understanding of the product\'s greenhouse gas emissions across its lifecycle. The aim is to identify key emission hotspots and provide actionable insights for sustainability improvements, ensuring at least 95% coverage for Scope 3 reporting as per 2026 requirements. All calculations are based on a functional unit of 1.0 unit.</w:t>
      </w:r>
    </w:p>
    <w:p>
      <w:r>
        <w:pict>
          <v:rect style="width:0;height:1.5pt" o:hralign="center" o:hrstd="t" o:hr="t"/>
        </w:pict>
      </w:r>
    </w:p>
    <w:bookmarkEnd w:id="22"/>
    <w:bookmarkStart w:id="23" w:name="methodology"/>
    <w:p>
      <w:pPr>
        <w:pStyle w:val="Heading2"/>
      </w:pPr>
      <w:r>
        <w:t xml:space="preserve">2. Methodology</w:t>
      </w:r>
    </w:p>
    <w:p>
      <w:pPr>
        <w:pStyle w:val="FirstParagraph"/>
      </w:pPr>
      <w:r>
        <w:t xml:space="preserve">The Product Carbon Footprint (PCF) analysis follows the five-step methodology as outlined, in adherence to the GHG Protocol:</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 (LCI inventory stages):</w:t>
      </w:r>
      <w:r>
        <w:t xml:space="preserve"> </w:t>
      </w:r>
      <w:r>
        <w:t xml:space="preserve">Identify and delineate all relevant processes and stages within the product\'s lifecycle.</w:t>
      </w:r>
    </w:p>
    <w:p>
      <w:pPr>
        <w:numPr>
          <w:ilvl w:val="0"/>
          <w:numId w:val="1001"/>
        </w:numPr>
        <w:pStyle w:val="Compact"/>
      </w:pPr>
      <w:r>
        <w:rPr>
          <w:bCs/>
          <w:b/>
        </w:rPr>
        <w:t xml:space="preserve">Collect Data:</w:t>
      </w:r>
      <w:r>
        <w:t xml:space="preserve"> </w:t>
      </w:r>
      <w:r>
        <w:t xml:space="preserve">Gather primary and secondary data points for material inputs, energy consumption, transportation, and end-of-life scenarios.</w:t>
      </w:r>
    </w:p>
    <w:p>
      <w:pPr>
        <w:numPr>
          <w:ilvl w:val="0"/>
          <w:numId w:val="1001"/>
        </w:numPr>
        <w:pStyle w:val="Compact"/>
      </w:pPr>
      <w:r>
        <w:rPr>
          <w:bCs/>
          <w:b/>
        </w:rPr>
        <w:t xml:space="preserve">Calculate Emissions:</w:t>
      </w:r>
      <w:r>
        <w:t xml:space="preserve"> </w:t>
      </w:r>
      <w:r>
        <w:t xml:space="preserve">Quantify greenhouse gas emissions (CO2e) by multiplying activity data with appropriate emission factors.</w:t>
      </w:r>
    </w:p>
    <w:p>
      <w:pPr>
        <w:numPr>
          <w:ilvl w:val="0"/>
          <w:numId w:val="1001"/>
        </w:numPr>
        <w:pStyle w:val="Compact"/>
      </w:pPr>
      <w:r>
        <w:rPr>
          <w:bCs/>
          <w:b/>
        </w:rPr>
        <w:t xml:space="preserve">Review &amp; Report:</w:t>
      </w:r>
      <w:r>
        <w:t xml:space="preserve"> </w:t>
      </w:r>
      <w:r>
        <w:t xml:space="preserve">Analyze results, identify hotspots, assess reliability, and present findings.</w:t>
      </w:r>
    </w:p>
    <w:p>
      <w:r>
        <w:pict>
          <v:rect style="width:0;height:1.5pt" o:hralign="center" o:hrstd="t" o:hr="t"/>
        </w:pict>
      </w:r>
    </w:p>
    <w:bookmarkEnd w:id="23"/>
    <w:bookmarkStart w:id="24" w:name="scope-definition"/>
    <w:p>
      <w:pPr>
        <w:pStyle w:val="Heading2"/>
      </w:pPr>
      <w:r>
        <w:t xml:space="preserve">3. Scope Definition</w:t>
      </w:r>
    </w:p>
    <w:p>
      <w:pPr>
        <w:pStyle w:val="FirstParagraph"/>
      </w:pPr>
      <w:r>
        <w:t xml:space="preserve">This section details the foundational parameters guiding the PCF analysis for "thevsulppj."</w:t>
      </w:r>
    </w:p>
    <w:p>
      <w:pPr>
        <w:numPr>
          <w:ilvl w:val="0"/>
          <w:numId w:val="1002"/>
        </w:numPr>
        <w:pStyle w:val="Compact"/>
      </w:pPr>
      <w:r>
        <w:rPr>
          <w:bCs/>
          <w:b/>
        </w:rPr>
        <w:t xml:space="preserve">Functional Unit:</w:t>
      </w:r>
      <w:r>
        <w:t xml:space="preserve"> </w:t>
      </w:r>
      <w:r>
        <w:t xml:space="preserve">1.0 unit of thevsulppj</w:t>
      </w:r>
    </w:p>
    <w:p>
      <w:pPr>
        <w:numPr>
          <w:ilvl w:val="0"/>
          <w:numId w:val="1002"/>
        </w:numPr>
        <w:pStyle w:val="Compact"/>
      </w:pPr>
      <w:r>
        <w:rPr>
          <w:bCs/>
          <w:b/>
        </w:rPr>
        <w:t xml:space="preserve">System Boundary:</w:t>
      </w:r>
      <w:r>
        <w:t xml:space="preserve"> </w:t>
      </w:r>
      <w:r>
        <w:t xml:space="preserve">factory_gate (cradle-to-gate with inclusion of use phase and end-of-life for a comprehensive view).</w:t>
      </w:r>
    </w:p>
    <w:p>
      <w:pPr>
        <w:numPr>
          <w:ilvl w:val="0"/>
          <w:numId w:val="1002"/>
        </w:numPr>
        <w:pStyle w:val="Compact"/>
      </w:pPr>
      <w:r>
        <w:rPr>
          <w:bCs/>
          <w:b/>
        </w:rPr>
        <w:t xml:space="preserve">Geographic Scope:</w:t>
      </w:r>
    </w:p>
    <w:p>
      <w:pPr>
        <w:numPr>
          <w:ilvl w:val="1"/>
          <w:numId w:val="1003"/>
        </w:numPr>
        <w:pStyle w:val="Compact"/>
      </w:pPr>
      <w:r>
        <w:t xml:space="preserve">Final Production Country: China</w:t>
      </w:r>
    </w:p>
    <w:p>
      <w:pPr>
        <w:numPr>
          <w:ilvl w:val="1"/>
          <w:numId w:val="1003"/>
        </w:numPr>
        <w:pStyle w:val="Compact"/>
      </w:pPr>
      <w:r>
        <w:t xml:space="preserve">Supply Chain Focus: Europe Focused</w:t>
      </w:r>
    </w:p>
    <w:p>
      <w:pPr>
        <w:numPr>
          <w:ilvl w:val="0"/>
          <w:numId w:val="1002"/>
        </w:numPr>
        <w:pStyle w:val="Compact"/>
      </w:pPr>
      <w:r>
        <w:rPr>
          <w:bCs/>
          <w:b/>
        </w:rPr>
        <w:t xml:space="preserve">Accounting Standard:</w:t>
      </w:r>
      <w:r>
        <w:t xml:space="preserve"> </w:t>
      </w:r>
      <w:r>
        <w:t xml:space="preserve">GHG Protocol. Emissions are categorized into Scope 1 (direct emissions), Scope 2 (purchased electricity, heat, or steam), and Scope 3 (all other indirect emissions across the value chain). The analysis also incorporates the 2026 Land Sector and Removals (LSR) Standard for land use and carbon removals where applicable. The LSR Standard, effective January 1, 2027, provides requirements for quantifying and reporting land management, land use change, CO2 removals, and biogenic products.</w:t>
      </w:r>
    </w:p>
    <w:p>
      <w:pPr>
        <w:numPr>
          <w:ilvl w:val="0"/>
          <w:numId w:val="1002"/>
        </w:numPr>
        <w:pStyle w:val="Compact"/>
      </w:pPr>
      <w:r>
        <w:rPr>
          <w:bCs/>
          <w:b/>
        </w:rPr>
        <w:t xml:space="preserve">Allocation:</w:t>
      </w:r>
      <w:r>
        <w:t xml:space="preserve"> </w:t>
      </w:r>
      <w:r>
        <w:t xml:space="preserve">Where co-products or waste streams occur, emissions are allocated based on relevant physical parameters (e.g., mass, energy content) or economic value, as appropriate for the specific process. Given the available data, direct allocation is primarily applied based on the BOM.</w:t>
      </w:r>
    </w:p>
    <w:p>
      <w:r>
        <w:pict>
          <v:rect style="width:0;height:1.5pt" o:hralign="center" o:hrstd="t" o:hr="t"/>
        </w:pict>
      </w:r>
    </w:p>
    <w:bookmarkEnd w:id="24"/>
    <w:bookmarkStart w:id="30" w:name="X1b7031aaf9d3ec7631c8b88e4e268c4190343e5"/>
    <w:p>
      <w:pPr>
        <w:pStyle w:val="Heading2"/>
      </w:pPr>
      <w:r>
        <w:t xml:space="preserve">4. Lifecycle Mapping &amp; Data Collection (Steps 2 &amp; 3)</w:t>
      </w:r>
    </w:p>
    <w:p>
      <w:pPr>
        <w:pStyle w:val="FirstParagraph"/>
      </w:pPr>
      <w:r>
        <w:t xml:space="preserve">This section details the inventory stages mapped and the data collected for each stage of "thevsulppj\'s" lifecycle. The goal is to capture all significant material and energy flows.</w:t>
      </w:r>
    </w:p>
    <w:bookmarkStart w:id="25" w:name="X03009c137a43313aa2402a234267084e196d2e6"/>
    <w:p>
      <w:pPr>
        <w:pStyle w:val="Heading3"/>
      </w:pPr>
      <w:r>
        <w:t xml:space="preserve">4.1. Detailed Bill of Materials (BOM) - Upstream Emissions (Scope 3, Category 1)</w:t>
      </w:r>
    </w:p>
    <w:p>
      <w:pPr>
        <w:pStyle w:val="FirstParagraph"/>
      </w:pPr>
      <w:r>
        <w:t xml:space="preserve">The following table presents the detailed Bill of Materials (BOM) for "thevsulppj" (sluevyke), including quantities, units, and the calculated total carbon impact for each component, which will be used for high-accuracy material impact calculation. These emissions are categorized under Scope 3, specifically "Purchased goods and services".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Raw Material A</w:t>
            </w:r>
          </w:p>
        </w:tc>
        <w:tc>
          <w:tcPr/>
          <w:p>
            <w:pPr>
              <w:pStyle w:val="Compact"/>
              <w:jc w:val="left"/>
            </w:pPr>
            <w:r>
              <w:t xml:space="preserve">Metals</w:t>
            </w:r>
          </w:p>
        </w:tc>
        <w:tc>
          <w:tcPr/>
          <w:p>
            <w:pPr>
              <w:pStyle w:val="Compact"/>
              <w:jc w:val="left"/>
            </w:pPr>
            <w:r>
              <w:t xml:space="preserve">Primary Production</w:t>
            </w:r>
          </w:p>
        </w:tc>
        <w:tc>
          <w:tcPr/>
          <w:p>
            <w:pPr>
              <w:pStyle w:val="Compact"/>
              <w:jc w:val="left"/>
            </w:pPr>
            <w:r>
              <w:t xml:space="preserve">1.5</w:t>
            </w:r>
          </w:p>
        </w:tc>
        <w:tc>
          <w:tcPr/>
          <w:p>
            <w:pPr>
              <w:pStyle w:val="Compact"/>
              <w:jc w:val="left"/>
            </w:pPr>
            <w:r>
              <w:t xml:space="preserve">kg</w:t>
            </w:r>
          </w:p>
        </w:tc>
        <w:tc>
          <w:tcPr/>
          <w:p>
            <w:pPr>
              <w:pStyle w:val="Compact"/>
              <w:jc w:val="left"/>
            </w:pPr>
            <w:r>
              <w:t xml:space="preserve">2.0</w:t>
            </w:r>
          </w:p>
        </w:tc>
        <w:tc>
          <w:tcPr/>
          <w:p>
            <w:pPr>
              <w:pStyle w:val="Compact"/>
              <w:jc w:val="left"/>
            </w:pPr>
            <w:r>
              <w:t xml:space="preserve">3.0</w:t>
            </w:r>
          </w:p>
        </w:tc>
      </w:tr>
      <w:tr>
        <w:tc>
          <w:tcPr/>
          <w:p>
            <w:pPr>
              <w:pStyle w:val="Compact"/>
              <w:jc w:val="left"/>
            </w:pPr>
            <w:r>
              <w:t xml:space="preserve">P-002</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1.8</w:t>
            </w:r>
          </w:p>
        </w:tc>
        <w:tc>
          <w:tcPr/>
          <w:p>
            <w:pPr>
              <w:pStyle w:val="Compact"/>
              <w:jc w:val="left"/>
            </w:pPr>
            <w:r>
              <w:t xml:space="preserve">1.44</w:t>
            </w:r>
          </w:p>
        </w:tc>
      </w:tr>
      <w:tr>
        <w:tc>
          <w:tcPr/>
          <w:p>
            <w:pPr>
              <w:pStyle w:val="Compact"/>
              <w:jc w:val="left"/>
            </w:pPr>
            <w:r>
              <w:t xml:space="preserve">E-003</w:t>
            </w:r>
          </w:p>
        </w:tc>
        <w:tc>
          <w:tcPr/>
          <w:p>
            <w:pPr>
              <w:pStyle w:val="Compact"/>
              <w:jc w:val="left"/>
            </w:pPr>
            <w:r>
              <w:t xml:space="preserve">Electronic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0.5</w:t>
            </w:r>
          </w:p>
        </w:tc>
        <w:tc>
          <w:tcPr/>
          <w:p>
            <w:pPr>
              <w:pStyle w:val="Compact"/>
              <w:jc w:val="left"/>
            </w:pPr>
            <w:r>
              <w:t xml:space="preserve">0.5</w:t>
            </w:r>
          </w:p>
        </w:tc>
      </w:tr>
      <w:tr>
        <w:tc>
          <w:tcPr/>
          <w:p>
            <w:pPr>
              <w:pStyle w:val="Compact"/>
              <w:jc w:val="left"/>
            </w:pPr>
            <w:r>
              <w:t xml:space="preserve">P-004</w:t>
            </w:r>
          </w:p>
        </w:tc>
        <w:tc>
          <w:tcPr/>
          <w:p>
            <w:pPr>
              <w:pStyle w:val="Compact"/>
              <w:jc w:val="left"/>
            </w:pPr>
            <w:r>
              <w:t xml:space="preserve">Packaging Material</w:t>
            </w:r>
          </w:p>
        </w:tc>
        <w:tc>
          <w:tcPr/>
          <w:p>
            <w:pPr>
              <w:pStyle w:val="Compact"/>
              <w:jc w:val="left"/>
            </w:pPr>
            <w:r>
              <w:t xml:space="preserve">Paper/Cardboard</w:t>
            </w:r>
          </w:p>
        </w:tc>
        <w:tc>
          <w:tcPr/>
          <w:p>
            <w:pPr>
              <w:pStyle w:val="Compact"/>
              <w:jc w:val="left"/>
            </w:pPr>
            <w:r>
              <w:t xml:space="preserve">Converting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0.7</w:t>
            </w:r>
          </w:p>
        </w:tc>
        <w:tc>
          <w:tcPr/>
          <w:p>
            <w:pPr>
              <w:pStyle w:val="Compact"/>
              <w:jc w:val="left"/>
            </w:pPr>
            <w:r>
              <w:t xml:space="preserve">0.14</w:t>
            </w:r>
          </w:p>
        </w:tc>
      </w:tr>
      <w:tr>
        <w:tc>
          <w:tcPr/>
          <w:p>
            <w:pPr>
              <w:pStyle w:val="Compact"/>
              <w:jc w:val="left"/>
            </w:pPr>
            <w:r>
              <w:t xml:space="preserve">C-005</w:t>
            </w:r>
          </w:p>
        </w:tc>
        <w:tc>
          <w:tcPr/>
          <w:p>
            <w:pPr>
              <w:pStyle w:val="Compact"/>
              <w:jc w:val="left"/>
            </w:pPr>
            <w:r>
              <w:t xml:space="preserve">Connector</w:t>
            </w:r>
          </w:p>
        </w:tc>
        <w:tc>
          <w:tcPr/>
          <w:p>
            <w:pPr>
              <w:pStyle w:val="Compact"/>
              <w:jc w:val="left"/>
            </w:pPr>
            <w:r>
              <w:t xml:space="preserve">Metals</w:t>
            </w:r>
          </w:p>
        </w:tc>
        <w:tc>
          <w:tcPr/>
          <w:p>
            <w:pPr>
              <w:pStyle w:val="Compact"/>
              <w:jc w:val="left"/>
            </w:pPr>
            <w:r>
              <w:t xml:space="preserve">Fabrication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2.5</w:t>
            </w:r>
          </w:p>
        </w:tc>
        <w:tc>
          <w:tcPr/>
          <w:p>
            <w:pPr>
              <w:pStyle w:val="Compact"/>
              <w:jc w:val="left"/>
            </w:pPr>
            <w:r>
              <w:t xml:space="preserve">0.25</w:t>
            </w:r>
          </w:p>
        </w:tc>
      </w:tr>
      <w:tr>
        <w:tc>
          <w:tcPr>
            <w:gridSpan w:val="7"/>
          </w:tcPr>
          <w:p>
            <w:pPr>
              <w:pStyle w:val="Compact"/>
              <w:jc w:val="right"/>
            </w:pPr>
            <w:r>
              <w:t xml:space="preserve">Total Material Carbon Impact:</w:t>
            </w:r>
          </w:p>
        </w:tc>
        <w:tc>
          <w:tcPr/>
          <w:p>
            <w:pPr>
              <w:pStyle w:val="Compact"/>
              <w:jc w:val="left"/>
            </w:pPr>
            <w:r>
              <w:t xml:space="preserve">5.33</w:t>
            </w:r>
          </w:p>
        </w:tc>
      </w:tr>
    </w:tbl>
    <w:bookmarkEnd w:id="25"/>
    <w:bookmarkStart w:id="26" w:name="production-phase---energy-inputs-scope-2"/>
    <w:p>
      <w:pPr>
        <w:pStyle w:val="Heading3"/>
      </w:pPr>
      <w:r>
        <w:t xml:space="preserve">4.2. Production Phase - Energy Inputs (Scope 2)</w:t>
      </w:r>
    </w:p>
    <w:p>
      <w:pPr>
        <w:pStyle w:val="FirstParagraph"/>
      </w:pPr>
      <w:r>
        <w:t xml:space="preserve">The energy consumption during the production of "thevsulppj" at the China-based factory is detailed below:</w:t>
      </w:r>
    </w:p>
    <w:p>
      <w:pPr>
        <w:numPr>
          <w:ilvl w:val="0"/>
          <w:numId w:val="1004"/>
        </w:numPr>
        <w:pStyle w:val="Compact"/>
      </w:pPr>
      <w:r>
        <w:rPr>
          <w:bCs/>
          <w:b/>
        </w:rPr>
        <w:t xml:space="preserve">Energy Intensity (kWh/unit):</w:t>
      </w:r>
      <w:r>
        <w:t xml:space="preserve"> </w:t>
      </w:r>
      <w:r>
        <w:t xml:space="preserve">uouqnwrfhq (Illustrative value assumed: 5 kWh/unit)</w:t>
      </w:r>
    </w:p>
    <w:p>
      <w:pPr>
        <w:numPr>
          <w:ilvl w:val="0"/>
          <w:numId w:val="1004"/>
        </w:numPr>
        <w:pStyle w:val="Compact"/>
      </w:pPr>
      <w:r>
        <w:rPr>
          <w:bCs/>
          <w:b/>
        </w:rPr>
        <w:t xml:space="preserve">Renewable Energy Usage:</w:t>
      </w:r>
      <w:r>
        <w:t xml:space="preserve"> </w:t>
      </w:r>
      <w:r>
        <w:t xml:space="preserve">wxxddiuxfh (Illustrative value assumed: 50%)</w:t>
      </w:r>
    </w:p>
    <w:p>
      <w:pPr>
        <w:pStyle w:val="FirstParagraph"/>
      </w:pPr>
      <w:r>
        <w:t xml:space="preserve">These values will be used to calculate the emissions associated with purchased electricity (Scope 2) during manufacturing. For reference, China\'s national average electricity carbon footprint factor was 0.6205 kg CO2e/kWh in 2023.</w:t>
      </w:r>
    </w:p>
    <w:bookmarkEnd w:id="26"/>
    <w:bookmarkStart w:id="27" w:name="X3f2b8d9f60b3d51a97b31315d74123edfe7d175"/>
    <w:p>
      <w:pPr>
        <w:pStyle w:val="Heading3"/>
      </w:pPr>
      <w:r>
        <w:t xml:space="preserve">4.3. Transport &amp; Logistics (Scope 3, Categories 4 &amp; 9)</w:t>
      </w:r>
    </w:p>
    <w:p>
      <w:pPr>
        <w:pStyle w:val="FirstParagraph"/>
      </w:pPr>
      <w:r>
        <w:t xml:space="preserve">The transportation data for bringing "thevsulppj" from its production site to its European market is as follows:</w:t>
      </w:r>
    </w:p>
    <w:p>
      <w:pPr>
        <w:numPr>
          <w:ilvl w:val="0"/>
          <w:numId w:val="1005"/>
        </w:numPr>
        <w:pStyle w:val="Compact"/>
      </w:pPr>
      <w:r>
        <w:rPr>
          <w:bCs/>
          <w:b/>
        </w:rPr>
        <w:t xml:space="preserve">Transport Mode:</w:t>
      </w:r>
      <w:r>
        <w:t xml:space="preserve"> </w:t>
      </w:r>
      <w:r>
        <w:t xml:space="preserve">Select Mode (Illustrative assumption: Road freight, Heavy goods vehicle &gt; 20t)</w:t>
      </w:r>
    </w:p>
    <w:p>
      <w:pPr>
        <w:numPr>
          <w:ilvl w:val="0"/>
          <w:numId w:val="1005"/>
        </w:numPr>
        <w:pStyle w:val="Compact"/>
      </w:pPr>
      <w:r>
        <w:rPr>
          <w:bCs/>
          <w:b/>
        </w:rPr>
        <w:t xml:space="preserve">Transport Distance:</w:t>
      </w:r>
      <w:r>
        <w:t xml:space="preserve"> </w:t>
      </w:r>
      <w:r>
        <w:t xml:space="preserve">wfysdkquyt (Illustrative value assumed: 1000 km for European supply chain focus)</w:t>
      </w:r>
    </w:p>
    <w:p>
      <w:pPr>
        <w:numPr>
          <w:ilvl w:val="0"/>
          <w:numId w:val="1005"/>
        </w:numPr>
        <w:pStyle w:val="Compact"/>
      </w:pPr>
      <w:r>
        <w:rPr>
          <w:bCs/>
          <w:b/>
        </w:rPr>
        <w:t xml:space="preserve">Last-Mile Delivery Channel:</w:t>
      </w:r>
      <w:r>
        <w:t xml:space="preserve"> </w:t>
      </w:r>
      <w:r>
        <w:t xml:space="preserve">Delivery Type (Illustrative assumption: Commercial courier service, with an assumed last-mile distance of 100 km)</w:t>
      </w:r>
    </w:p>
    <w:p>
      <w:pPr>
        <w:pStyle w:val="FirstParagraph"/>
      </w:pPr>
      <w:r>
        <w:t xml:space="preserve">These parameters are crucial for assessing the Scope 3 emissions related to upstream transportation and distribution (Category 4) and downstream transportation and distribution (Category 9). Emission factors for road freight typically range, for example, around 0.062 kg CO2/ton-kilometer for diesel trucks or 0.135 kg CO2e/tkm for general road freight.</w:t>
      </w:r>
    </w:p>
    <w:bookmarkEnd w:id="27"/>
    <w:bookmarkStart w:id="28" w:name="use-phase-scope-3-category-11"/>
    <w:p>
      <w:pPr>
        <w:pStyle w:val="Heading3"/>
      </w:pPr>
      <w:r>
        <w:t xml:space="preserve">4.4. Use Phase (Scope 3, Category 11)</w:t>
      </w:r>
    </w:p>
    <w:p>
      <w:pPr>
        <w:pStyle w:val="FirstParagraph"/>
      </w:pPr>
      <w:r>
        <w:t xml:space="preserve">The energy consumption and durability of the product during its usage by the end-consumer are essential for calculating the use phase footprint.</w:t>
      </w:r>
    </w:p>
    <w:p>
      <w:pPr>
        <w:numPr>
          <w:ilvl w:val="0"/>
          <w:numId w:val="1006"/>
        </w:numPr>
        <w:pStyle w:val="Compact"/>
      </w:pPr>
      <w:r>
        <w:rPr>
          <w:bCs/>
          <w:b/>
        </w:rPr>
        <w:t xml:space="preserve">Product Lifespan:</w:t>
      </w:r>
      <w:r>
        <w:t xml:space="preserve"> </w:t>
      </w:r>
      <w:r>
        <w:t xml:space="preserve">luofliekqw (Illustrative value assumed: 5 years)</w:t>
      </w:r>
    </w:p>
    <w:p>
      <w:pPr>
        <w:numPr>
          <w:ilvl w:val="0"/>
          <w:numId w:val="1006"/>
        </w:numPr>
        <w:pStyle w:val="Compact"/>
      </w:pPr>
      <w:r>
        <w:rPr>
          <w:bCs/>
          <w:b/>
        </w:rPr>
        <w:t xml:space="preserve">Energy Consumption in Use:</w:t>
      </w:r>
      <w:r>
        <w:t xml:space="preserve"> </w:t>
      </w:r>
      <w:r>
        <w:t xml:space="preserve">mdrnvsqlyr (Illustrative value assumed: 10 kWh/year)</w:t>
      </w:r>
    </w:p>
    <w:p>
      <w:pPr>
        <w:pStyle w:val="FirstParagraph"/>
      </w:pPr>
      <w:r>
        <w:t xml:space="preserve">These contribute to Scope 3 emissions under "Use of sold products" (Category 11), which includes direct use-phase emissions from products that consume energy.</w:t>
      </w:r>
    </w:p>
    <w:bookmarkEnd w:id="28"/>
    <w:bookmarkStart w:id="29" w:name="X3261202975bfccb1283f2bd5fabef2dfdbe9c90"/>
    <w:p>
      <w:pPr>
        <w:pStyle w:val="Heading3"/>
      </w:pPr>
      <w:r>
        <w:t xml:space="preserve">4.5. End-of-Life (EoL) Scenarios (Scope 3, Category 12)</w:t>
      </w:r>
    </w:p>
    <w:p>
      <w:pPr>
        <w:pStyle w:val="FirstParagraph"/>
      </w:pPr>
      <w:r>
        <w:t xml:space="preserve">The end-of-life treatment of "thevsulppj" is considered to reflect circular economy impacts.</w:t>
      </w:r>
    </w:p>
    <w:p>
      <w:pPr>
        <w:numPr>
          <w:ilvl w:val="0"/>
          <w:numId w:val="1007"/>
        </w:numPr>
        <w:pStyle w:val="Compact"/>
      </w:pPr>
      <w:r>
        <w:rPr>
          <w:bCs/>
          <w:b/>
        </w:rPr>
        <w:t xml:space="preserve">Recyclability Percentage:</w:t>
      </w:r>
      <w:r>
        <w:t xml:space="preserve"> </w:t>
      </w:r>
      <w:r>
        <w:t xml:space="preserve">ylhyxiuxdt (Illustrative value assumed: 70%)</w:t>
      </w:r>
    </w:p>
    <w:p>
      <w:pPr>
        <w:numPr>
          <w:ilvl w:val="0"/>
          <w:numId w:val="1007"/>
        </w:numPr>
        <w:pStyle w:val="Compact"/>
      </w:pPr>
      <w:r>
        <w:rPr>
          <w:bCs/>
          <w:b/>
        </w:rPr>
        <w:t xml:space="preserve">Circular/Take-back Programs:</w:t>
      </w:r>
      <w:r>
        <w:t xml:space="preserve"> </w:t>
      </w:r>
      <w:r>
        <w:t xml:space="preserve">ztdfldsutj (Illustrative assumption: Active Take-back program managed by eunrpkrrlv)</w:t>
      </w:r>
    </w:p>
    <w:p>
      <w:pPr>
        <w:pStyle w:val="FirstParagraph"/>
      </w:pPr>
      <w:r>
        <w:t xml:space="preserve">These factors influence the Scope 3 emissions related to the "End-of-life treatment of sold products" (Category 12), with recycling potentially leading to avoided emissions (credits) by offsetting virgin material production.</w:t>
      </w:r>
    </w:p>
    <w:p>
      <w:r>
        <w:pict>
          <v:rect style="width:0;height:1.5pt" o:hralign="center" o:hrstd="t" o:hr="t"/>
        </w:pict>
      </w:r>
    </w:p>
    <w:bookmarkEnd w:id="29"/>
    <w:bookmarkEnd w:id="30"/>
    <w:bookmarkStart w:id="41" w:name="emissions-calculation-step-4"/>
    <w:p>
      <w:pPr>
        <w:pStyle w:val="Heading2"/>
      </w:pPr>
      <w:r>
        <w:t xml:space="preserve">5. Emissions Calculation (Step 4)</w:t>
      </w:r>
    </w:p>
    <w:p>
      <w:pPr>
        <w:pStyle w:val="FirstParagraph"/>
      </w:pPr>
      <w:r>
        <w:t xml:space="preserve">This section quantifies the greenhouse gas emissions (CO2e) for "thevsulppj" across its lifecycle, adhering to the GHG Protocol and aiming for over 95% Scope 3 coverage. Industry-standard emission factors (e.g., from Ecoinvent, DEFRA) are employed where primary data is not available, or illustrative values are used for demonstration purposes as specified. All numerical values for parameters provided as strings are illustrative assumptions for the purpose of demonstrating the calculation methodology.</w:t>
      </w:r>
    </w:p>
    <w:bookmarkStart w:id="31" w:name="scope-1-emissions-direct-emissions"/>
    <w:p>
      <w:pPr>
        <w:pStyle w:val="Heading3"/>
      </w:pPr>
      <w:r>
        <w:t xml:space="preserve">5.1. Scope 1 Emissions (Direct Emissions)</w:t>
      </w:r>
    </w:p>
    <w:p>
      <w:pPr>
        <w:pStyle w:val="FirstParagraph"/>
      </w:pPr>
      <w:r>
        <w:t xml:space="preserve">Based on the provided parameters, direct emissions from sources owned or controlled by eunrpkrrlv at the factory gate (Scope 1) are considered minimal if the energy is primarily purchased electricity. Any direct combustion for heating or processes would fall here. For this analysis, assuming purchased electricity is the primary energy source, direct combustion Scope 1 emissions at the factory are considered negligible for the specific product manufacturing process, or implicitly covered by supplier data in Scope 3 for raw material production.</w:t>
      </w:r>
    </w:p>
    <w:p>
      <w:pPr>
        <w:pStyle w:val="BodyText"/>
      </w:pPr>
      <w:r>
        <w:rPr>
          <w:bCs/>
          <w:b/>
        </w:rPr>
        <w:t xml:space="preserve">Total Scope 1 Emissions:</w:t>
      </w:r>
      <w:r>
        <w:t xml:space="preserve"> </w:t>
      </w:r>
      <w:r>
        <w:t xml:space="preserve">0.0 kg CO2e (Illustrative, assuming no direct fuel combustion for product manufacturing at factory_gate boundary)</w:t>
      </w:r>
    </w:p>
    <w:bookmarkEnd w:id="31"/>
    <w:bookmarkStart w:id="32" w:name="scope-2-emissions-purchased-energy"/>
    <w:p>
      <w:pPr>
        <w:pStyle w:val="Heading3"/>
      </w:pPr>
      <w:r>
        <w:t xml:space="preserve">5.2. Scope 2 Emissions (Purchased Energy)</w:t>
      </w:r>
    </w:p>
    <w:p>
      <w:pPr>
        <w:pStyle w:val="FirstParagraph"/>
      </w:pPr>
      <w:r>
        <w:t xml:space="preserve">These emissions arise from the generation of purchased electricity consumed by eunrpkrrlv during the production of "thevsulppj" in China.</w:t>
      </w:r>
    </w:p>
    <w:p>
      <w:pPr>
        <w:numPr>
          <w:ilvl w:val="0"/>
          <w:numId w:val="1008"/>
        </w:numPr>
        <w:pStyle w:val="Compact"/>
      </w:pPr>
      <w:r>
        <w:t xml:space="preserve">Energy Intensity: uouqnwrfhq (Illustrative: 5 kWh/unit)</w:t>
      </w:r>
    </w:p>
    <w:p>
      <w:pPr>
        <w:numPr>
          <w:ilvl w:val="0"/>
          <w:numId w:val="1008"/>
        </w:numPr>
        <w:pStyle w:val="Compact"/>
      </w:pPr>
      <w:r>
        <w:t xml:space="preserve">Renewable Energy Usage: wxxddiuxfh (Illustrative: 50%)</w:t>
      </w:r>
    </w:p>
    <w:p>
      <w:pPr>
        <w:numPr>
          <w:ilvl w:val="0"/>
          <w:numId w:val="1008"/>
        </w:numPr>
        <w:pStyle w:val="Compact"/>
      </w:pPr>
      <w:r>
        <w:t xml:space="preserve">Assumed Grid Electricity Emission Factor (China, 2023): 0.6205 kg CO2e/kWh</w:t>
      </w:r>
    </w:p>
    <w:p>
      <w:pPr>
        <w:numPr>
          <w:ilvl w:val="0"/>
          <w:numId w:val="1008"/>
        </w:numPr>
        <w:pStyle w:val="Compact"/>
      </w:pPr>
      <w:r>
        <w:t xml:space="preserve">Effective Grid Usage: (1 - wxxddiuxfh) = (1 - 0.50) = 0.50</w:t>
      </w:r>
    </w:p>
    <w:p>
      <w:pPr>
        <w:numPr>
          <w:ilvl w:val="0"/>
          <w:numId w:val="1008"/>
        </w:numPr>
        <w:pStyle w:val="Compact"/>
      </w:pPr>
      <w:r>
        <w:rPr>
          <w:bCs/>
          <w:b/>
        </w:rPr>
        <w:t xml:space="preserve">Calculation:</w:t>
      </w:r>
      <w:r>
        <w:t xml:space="preserve"> </w:t>
      </w:r>
      <w:r>
        <w:t xml:space="preserve">`uouqnwrfhq` (5 kWh/unit) * (1 - `wxxddiuxfh` (0.50)) * Assumed Grid Emission Factor (0.6205 kg CO2e/kWh)</w:t>
      </w:r>
    </w:p>
    <w:p>
      <w:pPr>
        <w:numPr>
          <w:ilvl w:val="0"/>
          <w:numId w:val="1008"/>
        </w:numPr>
        <w:pStyle w:val="Compact"/>
      </w:pPr>
      <w:r>
        <w:rPr>
          <w:bCs/>
          <w:b/>
        </w:rPr>
        <w:t xml:space="preserve">Illustrative Calculation:</w:t>
      </w:r>
      <w:r>
        <w:t xml:space="preserve"> </w:t>
      </w:r>
      <w:r>
        <w:t xml:space="preserve">5 kWh/unit * 0.50 * 0.6205 kg CO2e/kWh = 1.55125 kg CO2e/unit</w:t>
      </w:r>
    </w:p>
    <w:p>
      <w:pPr>
        <w:pStyle w:val="FirstParagraph"/>
      </w:pPr>
      <w:r>
        <w:rPr>
          <w:bCs/>
          <w:b/>
        </w:rPr>
        <w:t xml:space="preserve">Total Scope 2 Emissions:</w:t>
      </w:r>
      <w:r>
        <w:t xml:space="preserve"> </w:t>
      </w:r>
      <w:r>
        <w:t xml:space="preserve">1.55 kg CO2e/unit (Illustrative)</w:t>
      </w:r>
    </w:p>
    <w:bookmarkEnd w:id="32"/>
    <w:bookmarkStart w:id="38" w:name="scope-3-emissions-value-chain-emissions"/>
    <w:p>
      <w:pPr>
        <w:pStyle w:val="Heading3"/>
      </w:pPr>
      <w:r>
        <w:t xml:space="preserve">5.3. Scope 3 Emissions (Value Chain Emissions)</w:t>
      </w:r>
    </w:p>
    <w:p>
      <w:pPr>
        <w:pStyle w:val="FirstParagraph"/>
      </w:pPr>
      <w:r>
        <w:t xml:space="preserve">Scope 3 emissions represent the most significant portion of the PCF and cover upstream and downstream activities, with the aim of achieving over 95% coverage.</w:t>
      </w:r>
    </w:p>
    <w:bookmarkStart w:id="33" w:name="Xab9729a0caae076ca89f2f71668734f92723cf2"/>
    <w:p>
      <w:pPr>
        <w:pStyle w:val="Heading4"/>
      </w:pPr>
      <w:r>
        <w:t xml:space="preserve">5.3.1. Category 1: Purchased Goods and Services (Materials)</w:t>
      </w:r>
    </w:p>
    <w:p>
      <w:pPr>
        <w:pStyle w:val="FirstParagraph"/>
      </w:pPr>
      <w:r>
        <w:t xml:space="preserve">Emissions from the extraction, production, and transportation of raw materials and components used in "thevsulppj" are derived directly from the provided BOM (sluevyke).</w:t>
      </w:r>
    </w:p>
    <w:p>
      <w:pPr>
        <w:numPr>
          <w:ilvl w:val="0"/>
          <w:numId w:val="1009"/>
        </w:numPr>
        <w:pStyle w:val="Compact"/>
      </w:pPr>
      <w:r>
        <w:rPr>
          <w:bCs/>
          <w:b/>
        </w:rPr>
        <w:t xml:space="preserve">Total Material Carbon Impact (from BOM table):</w:t>
      </w:r>
      <w:r>
        <w:t xml:space="preserve"> </w:t>
      </w:r>
      <w:r>
        <w:t xml:space="preserve">5.33 kg CO2e/unit</w:t>
      </w:r>
    </w:p>
    <w:p>
      <w:pPr>
        <w:pStyle w:val="FirstParagraph"/>
      </w:pPr>
      <w:r>
        <w:rPr>
          <w:bCs/>
          <w:b/>
        </w:rPr>
        <w:t xml:space="preserve">Total Scope 3 - Materials Emissions:</w:t>
      </w:r>
      <w:r>
        <w:t xml:space="preserve"> </w:t>
      </w:r>
      <w:r>
        <w:t xml:space="preserve">5.33 kg CO2e/unit</w:t>
      </w:r>
    </w:p>
    <w:bookmarkEnd w:id="33"/>
    <w:bookmarkStart w:id="34" w:name="X6669a43143349c25ec93e775eebde43de53a73c"/>
    <w:p>
      <w:pPr>
        <w:pStyle w:val="Heading4"/>
      </w:pPr>
      <w:r>
        <w:t xml:space="preserve">5.3.2. Category 4: Upstream Transportation and Distribution</w:t>
      </w:r>
    </w:p>
    <w:p>
      <w:pPr>
        <w:pStyle w:val="FirstParagraph"/>
      </w:pPr>
      <w:r>
        <w:t xml:space="preserve">Emissions from transporting raw materials and components to the production facility in China, and potentially initial distribution.</w:t>
      </w:r>
    </w:p>
    <w:p>
      <w:pPr>
        <w:numPr>
          <w:ilvl w:val="0"/>
          <w:numId w:val="1010"/>
        </w:numPr>
        <w:pStyle w:val="Compact"/>
      </w:pPr>
      <w:r>
        <w:t xml:space="preserve">Transport Mode: Select Mode (Illustrative: Road freight, HGV &gt; 20t)</w:t>
      </w:r>
    </w:p>
    <w:p>
      <w:pPr>
        <w:numPr>
          <w:ilvl w:val="0"/>
          <w:numId w:val="1010"/>
        </w:numPr>
        <w:pStyle w:val="Compact"/>
      </w:pPr>
      <w:r>
        <w:t xml:space="preserve">Transport Distance: wfysdkquyt (Illustrative: 1000 km)</w:t>
      </w:r>
    </w:p>
    <w:p>
      <w:pPr>
        <w:numPr>
          <w:ilvl w:val="0"/>
          <w:numId w:val="1010"/>
        </w:numPr>
        <w:pStyle w:val="Compact"/>
      </w:pPr>
      <w:r>
        <w:t xml:space="preserve">Assumed Transport Emission Factor (Representative for Road Freight, Europe focused): 0.08 kg CO2e/tkm</w:t>
      </w:r>
    </w:p>
    <w:p>
      <w:pPr>
        <w:numPr>
          <w:ilvl w:val="0"/>
          <w:numId w:val="1010"/>
        </w:numPr>
        <w:pStyle w:val="Compact"/>
      </w:pPr>
      <w:r>
        <w:t xml:space="preserve">Assumed Product Weight: 0.5 kg (for transport calculation)</w:t>
      </w:r>
    </w:p>
    <w:p>
      <w:pPr>
        <w:numPr>
          <w:ilvl w:val="0"/>
          <w:numId w:val="1010"/>
        </w:numPr>
        <w:pStyle w:val="Compact"/>
      </w:pPr>
      <w:r>
        <w:rPr>
          <w:bCs/>
          <w:b/>
        </w:rPr>
        <w:t xml:space="preserve">Calculation:</w:t>
      </w:r>
      <w:r>
        <w:t xml:space="preserve"> </w:t>
      </w:r>
      <w:r>
        <w:t xml:space="preserve">`wfysdkquyt` (1000 km) * Assumed Transport Emission Factor (0.08 kg CO2e/tkm) * Assumed Product Weight (0.5 kg) / 1000 (to convert kg to t)</w:t>
      </w:r>
    </w:p>
    <w:p>
      <w:pPr>
        <w:numPr>
          <w:ilvl w:val="0"/>
          <w:numId w:val="1010"/>
        </w:numPr>
        <w:pStyle w:val="Compact"/>
      </w:pPr>
      <w:r>
        <w:rPr>
          <w:bCs/>
          <w:b/>
        </w:rPr>
        <w:t xml:space="preserve">Illustrative Calculation:</w:t>
      </w:r>
      <w:r>
        <w:t xml:space="preserve"> </w:t>
      </w:r>
      <w:r>
        <w:t xml:space="preserve">1000 km * 0.08 kg CO2e/tkm * 0.5 kg / 1000 kg/t = 0.04 kg CO2e/unit</w:t>
      </w:r>
    </w:p>
    <w:p>
      <w:pPr>
        <w:pStyle w:val="FirstParagraph"/>
      </w:pPr>
      <w:r>
        <w:rPr>
          <w:bCs/>
          <w:b/>
        </w:rPr>
        <w:t xml:space="preserve">Total Scope 3 - Upstream Transport Emissions:</w:t>
      </w:r>
      <w:r>
        <w:t xml:space="preserve"> </w:t>
      </w:r>
      <w:r>
        <w:t xml:space="preserve">0.04 kg CO2e/unit (Illustrative)</w:t>
      </w:r>
    </w:p>
    <w:bookmarkEnd w:id="34"/>
    <w:bookmarkStart w:id="35" w:name="X5b70aafc99c239c9cc973ef0b16df8b4bae845d"/>
    <w:p>
      <w:pPr>
        <w:pStyle w:val="Heading4"/>
      </w:pPr>
      <w:r>
        <w:t xml:space="preserve">5.3.3. Category 9: Downstream Transportation and Distribution (Last-Mile)</w:t>
      </w:r>
    </w:p>
    <w:p>
      <w:pPr>
        <w:pStyle w:val="FirstParagraph"/>
      </w:pPr>
      <w:r>
        <w:t xml:space="preserve">Emissions from the last-mile delivery of the finished product to the end-consumer in Europe.</w:t>
      </w:r>
    </w:p>
    <w:p>
      <w:pPr>
        <w:numPr>
          <w:ilvl w:val="0"/>
          <w:numId w:val="1011"/>
        </w:numPr>
        <w:pStyle w:val="Compact"/>
      </w:pPr>
      <w:r>
        <w:t xml:space="preserve">Last-Mile Delivery Channel: Delivery Type (Illustrative: Commercial courier service)</w:t>
      </w:r>
    </w:p>
    <w:p>
      <w:pPr>
        <w:numPr>
          <w:ilvl w:val="0"/>
          <w:numId w:val="1011"/>
        </w:numPr>
        <w:pStyle w:val="Compact"/>
      </w:pPr>
      <w:r>
        <w:t xml:space="preserve">Assumed Last-Mile Distance: 100 km</w:t>
      </w:r>
    </w:p>
    <w:p>
      <w:pPr>
        <w:numPr>
          <w:ilvl w:val="0"/>
          <w:numId w:val="1011"/>
        </w:numPr>
        <w:pStyle w:val="Compact"/>
      </w:pPr>
      <w:r>
        <w:t xml:space="preserve">Assumed Last-Mile Emission Factor (e.g., for a small package via van): 0.05 kg CO2e/unit (simplified for a single unit, based on illustrative typical values)</w:t>
      </w:r>
    </w:p>
    <w:p>
      <w:pPr>
        <w:numPr>
          <w:ilvl w:val="0"/>
          <w:numId w:val="1011"/>
        </w:numPr>
        <w:pStyle w:val="Compact"/>
      </w:pPr>
      <w:r>
        <w:rPr>
          <w:bCs/>
          <w:b/>
        </w:rPr>
        <w:t xml:space="preserve">Illustrative Calculation:</w:t>
      </w:r>
      <w:r>
        <w:t xml:space="preserve"> </w:t>
      </w:r>
      <w:r>
        <w:t xml:space="preserve">0.05 kg CO2e/unit (simplified)</w:t>
      </w:r>
    </w:p>
    <w:p>
      <w:pPr>
        <w:pStyle w:val="FirstParagraph"/>
      </w:pPr>
      <w:r>
        <w:rPr>
          <w:bCs/>
          <w:b/>
        </w:rPr>
        <w:t xml:space="preserve">Total Scope 3 - Downstream Transport Emissions:</w:t>
      </w:r>
      <w:r>
        <w:t xml:space="preserve"> </w:t>
      </w:r>
      <w:r>
        <w:t xml:space="preserve">0.05 kg CO2e/unit (Illustrative)</w:t>
      </w:r>
    </w:p>
    <w:bookmarkEnd w:id="35"/>
    <w:bookmarkStart w:id="36" w:name="category-11-use-of-sold-products"/>
    <w:p>
      <w:pPr>
        <w:pStyle w:val="Heading4"/>
      </w:pPr>
      <w:r>
        <w:t xml:space="preserve">5.3.4. Category 11: Use of Sold Products</w:t>
      </w:r>
    </w:p>
    <w:p>
      <w:pPr>
        <w:pStyle w:val="FirstParagraph"/>
      </w:pPr>
      <w:r>
        <w:t xml:space="preserve">Emissions generated during the product\'s lifespan due to energy consumption.</w:t>
      </w:r>
    </w:p>
    <w:p>
      <w:pPr>
        <w:numPr>
          <w:ilvl w:val="0"/>
          <w:numId w:val="1012"/>
        </w:numPr>
        <w:pStyle w:val="Compact"/>
      </w:pPr>
      <w:r>
        <w:t xml:space="preserve">Product Lifespan: luofliekqw (Illustrative: 5 years)</w:t>
      </w:r>
    </w:p>
    <w:p>
      <w:pPr>
        <w:numPr>
          <w:ilvl w:val="0"/>
          <w:numId w:val="1012"/>
        </w:numPr>
        <w:pStyle w:val="Compact"/>
      </w:pPr>
      <w:r>
        <w:t xml:space="preserve">Energy Consumption in Use: mdrnvsqlyr (Illustrative: 10 kWh/year)</w:t>
      </w:r>
    </w:p>
    <w:p>
      <w:pPr>
        <w:numPr>
          <w:ilvl w:val="0"/>
          <w:numId w:val="1012"/>
        </w:numPr>
        <w:pStyle w:val="Compact"/>
      </w:pPr>
      <w:r>
        <w:t xml:space="preserve">Assumed Electricity Emission Factor (European grid mix average, 2021): 0.2883 kg CO2e/kWh</w:t>
      </w:r>
    </w:p>
    <w:p>
      <w:pPr>
        <w:numPr>
          <w:ilvl w:val="0"/>
          <w:numId w:val="1012"/>
        </w:numPr>
        <w:pStyle w:val="Compact"/>
      </w:pPr>
      <w:r>
        <w:rPr>
          <w:bCs/>
          <w:b/>
        </w:rPr>
        <w:t xml:space="preserve">Calculation:</w:t>
      </w:r>
      <w:r>
        <w:t xml:space="preserve"> </w:t>
      </w:r>
      <w:r>
        <w:t xml:space="preserve">`luofliekqw` (5 years) * `mdrnvsqlyr` (10 kWh/year) * Assumed Electricity Emission Factor (0.2883 kg CO2e/kWh)</w:t>
      </w:r>
    </w:p>
    <w:p>
      <w:pPr>
        <w:numPr>
          <w:ilvl w:val="0"/>
          <w:numId w:val="1012"/>
        </w:numPr>
        <w:pStyle w:val="Compact"/>
      </w:pPr>
      <w:r>
        <w:rPr>
          <w:bCs/>
          <w:b/>
        </w:rPr>
        <w:t xml:space="preserve">Illustrative Calculation:</w:t>
      </w:r>
      <w:r>
        <w:t xml:space="preserve"> </w:t>
      </w:r>
      <w:r>
        <w:t xml:space="preserve">5 years * 10 kWh/year * 0.2883 kg CO2e/kWh = 14.415 kg CO2e/unit</w:t>
      </w:r>
    </w:p>
    <w:p>
      <w:pPr>
        <w:pStyle w:val="FirstParagraph"/>
      </w:pPr>
      <w:r>
        <w:rPr>
          <w:bCs/>
          <w:b/>
        </w:rPr>
        <w:t xml:space="preserve">Total Scope 3 - Use Phase Emissions:</w:t>
      </w:r>
      <w:r>
        <w:t xml:space="preserve"> </w:t>
      </w:r>
      <w:r>
        <w:t xml:space="preserve">14.42 kg CO2e/unit (Illustrative)</w:t>
      </w:r>
    </w:p>
    <w:bookmarkEnd w:id="36"/>
    <w:bookmarkStart w:id="37" w:name="X9f66eef2700632e081dfe139021cb724ffcd2c5"/>
    <w:p>
      <w:pPr>
        <w:pStyle w:val="Heading4"/>
      </w:pPr>
      <w:r>
        <w:t xml:space="preserve">5.3.5. Category 12: End-of-Life Treatment of Sold Products</w:t>
      </w:r>
    </w:p>
    <w:p>
      <w:pPr>
        <w:pStyle w:val="FirstParagraph"/>
      </w:pPr>
      <w:r>
        <w:t xml:space="preserve">Emissions (or credits) associated with the disposal or recycling of "thevsulppj" at the end of its life.</w:t>
      </w:r>
    </w:p>
    <w:p>
      <w:pPr>
        <w:numPr>
          <w:ilvl w:val="0"/>
          <w:numId w:val="1013"/>
        </w:numPr>
        <w:pStyle w:val="Compact"/>
      </w:pPr>
      <w:r>
        <w:t xml:space="preserve">Recyclability Percentage: ylhyxiuxdt (Illustrative: 70%)</w:t>
      </w:r>
    </w:p>
    <w:p>
      <w:pPr>
        <w:numPr>
          <w:ilvl w:val="0"/>
          <w:numId w:val="1013"/>
        </w:numPr>
        <w:pStyle w:val="Compact"/>
      </w:pPr>
      <w:r>
        <w:t xml:space="preserve">Circular/Take-back Programs: ztdfldsutj (Illustrative: Active Take-back program)</w:t>
      </w:r>
    </w:p>
    <w:p>
      <w:pPr>
        <w:numPr>
          <w:ilvl w:val="0"/>
          <w:numId w:val="1013"/>
        </w:numPr>
        <w:pStyle w:val="Compact"/>
      </w:pPr>
      <w:r>
        <w:t xml:space="preserve">Assumed EoL Emission/Credit Factor: For 70% recyclability, assuming a net credit for avoided virgin material production for recycled content and burden for disposal of non-recycled. This can be expressed as a net benefit of -0.05 kg CO2e/kg for the product, considering its illustrative weight of 0.5 kg.</w:t>
      </w:r>
    </w:p>
    <w:p>
      <w:pPr>
        <w:numPr>
          <w:ilvl w:val="0"/>
          <w:numId w:val="1013"/>
        </w:numPr>
        <w:pStyle w:val="Compact"/>
      </w:pPr>
      <w:r>
        <w:rPr>
          <w:bCs/>
          <w:b/>
        </w:rPr>
        <w:t xml:space="preserve">Illustrative Calculation:</w:t>
      </w:r>
      <w:r>
        <w:t xml:space="preserve"> </w:t>
      </w:r>
      <w:r>
        <w:t xml:space="preserve">-0.05 kg CO2e/kg * 0.5 kg = -0.025 kg CO2e/unit (Credit)</w:t>
      </w:r>
    </w:p>
    <w:p>
      <w:pPr>
        <w:pStyle w:val="FirstParagraph"/>
      </w:pPr>
      <w:r>
        <w:rPr>
          <w:bCs/>
          <w:b/>
        </w:rPr>
        <w:t xml:space="preserve">Total Scope 3 - End-of-Life Emissions:</w:t>
      </w:r>
      <w:r>
        <w:t xml:space="preserve"> </w:t>
      </w:r>
      <w:r>
        <w:t xml:space="preserve">-0.025 kg CO2e/unit (Illustrative Credit)</w:t>
      </w:r>
    </w:p>
    <w:bookmarkEnd w:id="37"/>
    <w:bookmarkEnd w:id="38"/>
    <w:bookmarkStart w:id="39" w:name="summary-of-emissions-by-scope"/>
    <w:p>
      <w:pPr>
        <w:pStyle w:val="Heading3"/>
      </w:pPr>
      <w:r>
        <w:t xml:space="preserve">5.4. Summary of Emissions by Scope</w:t>
      </w:r>
    </w:p>
    <w:p>
      <w:pPr>
        <w:pStyle w:val="FirstParagraph"/>
      </w:pPr>
      <w:r>
        <w:t xml:space="preserve">The total Product Carbon Footprint for "thevsulppj" is summarized below:</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Illustrative CO2e (kg/unit)</w:t>
            </w:r>
          </w:p>
        </w:tc>
      </w:tr>
      <w:tr>
        <w:tc>
          <w:tcPr/>
          <w:p>
            <w:pPr>
              <w:pStyle w:val="Compact"/>
              <w:jc w:val="left"/>
            </w:pPr>
            <w:r>
              <w:t xml:space="preserve">Scope 1</w:t>
            </w:r>
          </w:p>
        </w:tc>
        <w:tc>
          <w:tcPr/>
          <w:p>
            <w:pPr>
              <w:pStyle w:val="Compact"/>
              <w:jc w:val="left"/>
            </w:pPr>
            <w:r>
              <w:t xml:space="preserve">Direct Emissions (e.g., on-site fuel combustion)</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1.55</w:t>
            </w:r>
          </w:p>
        </w:tc>
      </w:tr>
      <w:tr>
        <w:tc>
          <w:tcPr>
            <w:vMerge w:val="restart"/>
          </w:tcPr>
          <w:p>
            <w:pPr>
              <w:pStyle w:val="Compact"/>
              <w:jc w:val="left"/>
            </w:pPr>
            <w:r>
              <w:t xml:space="preserve">Scope 3</w:t>
            </w:r>
          </w:p>
        </w:tc>
        <w:tc>
          <w:tcPr/>
          <w:p>
            <w:pPr>
              <w:pStyle w:val="Compact"/>
              <w:jc w:val="left"/>
            </w:pPr>
            <w:r>
              <w:t xml:space="preserve">Category 1: Purchased Goods and Services (Materials)</w:t>
            </w:r>
          </w:p>
        </w:tc>
        <w:tc>
          <w:tcPr/>
          <w:p>
            <w:pPr>
              <w:pStyle w:val="Compact"/>
              <w:jc w:val="left"/>
            </w:pPr>
            <w:r>
              <w:t xml:space="preserve">5.33</w:t>
            </w:r>
          </w:p>
        </w:tc>
      </w:tr>
      <w:tr>
        <w:tc>
          <w:tcPr>
            <w:gridSpan w:val="1"/>
            <w:vMerge w:val="continue"/>
          </w:tcPr>
          <w:p>
            <w:pPr/>
          </w:p>
        </w:tc>
        <w:tc>
          <w:tcPr/>
          <w:p>
            <w:pPr>
              <w:pStyle w:val="Compact"/>
              <w:jc w:val="left"/>
            </w:pPr>
            <w:r>
              <w:t xml:space="preserve">Category 4: Upstream Transportation and Distribution</w:t>
            </w:r>
          </w:p>
        </w:tc>
        <w:tc>
          <w:tcPr/>
          <w:p>
            <w:pPr>
              <w:pStyle w:val="Compact"/>
              <w:jc w:val="left"/>
            </w:pPr>
            <w:r>
              <w:t xml:space="preserve">0.04</w:t>
            </w:r>
          </w:p>
        </w:tc>
      </w:tr>
      <w:tr>
        <w:tc>
          <w:tcPr>
            <w:gridSpan w:val="1"/>
            <w:vMerge w:val="continue"/>
          </w:tcPr>
          <w:p>
            <w:pPr/>
          </w:p>
        </w:tc>
        <w:tc>
          <w:tcPr/>
          <w:p>
            <w:pPr>
              <w:pStyle w:val="Compact"/>
              <w:jc w:val="left"/>
            </w:pPr>
            <w:r>
              <w:t xml:space="preserve">Category 9: Downstream Transportation and Distribution (Last-Mile)</w:t>
            </w:r>
          </w:p>
        </w:tc>
        <w:tc>
          <w:tcPr/>
          <w:p>
            <w:pPr>
              <w:pStyle w:val="Compact"/>
              <w:jc w:val="left"/>
            </w:pPr>
            <w:r>
              <w:t xml:space="preserve">0.05</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14.42</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-0.025</w:t>
            </w:r>
          </w:p>
        </w:tc>
      </w:tr>
      <w:tr>
        <w:tc>
          <w:tcPr>
            <w:gridSpan w:val="2"/>
          </w:tcPr>
          <w:p>
            <w:pPr>
              <w:pStyle w:val="Compact"/>
              <w:jc w:val="right"/>
            </w:pPr>
            <w:r>
              <w:t xml:space="preserve">TOTAL PRODUCT CARBON FOOTPRINT:</w:t>
            </w:r>
          </w:p>
        </w:tc>
        <w:tc>
          <w:tcPr/>
          <w:p>
            <w:pPr>
              <w:pStyle w:val="Compact"/>
              <w:jc w:val="left"/>
            </w:pPr>
            <w:r>
              <w:t xml:space="preserve">21.365</w:t>
            </w:r>
          </w:p>
        </w:tc>
      </w:tr>
    </w:tbl>
    <w:p>
      <w:pPr>
        <w:pStyle w:val="BodyText"/>
      </w:pPr>
      <w:r>
        <w:rPr>
          <w:iCs/>
          <w:i/>
        </w:rPr>
        <w:t xml:space="preserve">Note: All numerical values for parameters like transport distance (`wfysdkquyt`), energy intensity (`uouqnwrfhq`), lifespan (`luofliekqw`), and energy consumption in use (`mdrnvsqlyr`) were provided as string placeholders in the request. For the purpose of calculation, illustrative numerical values were assumed based on plausible industry averages and recent data from credible sources. The "Total Carbon" from the BOM table (`sluevyke`) is used as provided.</w:t>
      </w:r>
    </w:p>
    <w:bookmarkEnd w:id="39"/>
    <w:bookmarkStart w:id="40" w:name="lsr-update-application"/>
    <w:p>
      <w:pPr>
        <w:pStyle w:val="Heading3"/>
      </w:pPr>
      <w:r>
        <w:t xml:space="preserve">5.5. 2026 LSR Update Application</w:t>
      </w:r>
    </w:p>
    <w:p>
      <w:pPr>
        <w:pStyle w:val="FirstParagraph"/>
      </w:pPr>
      <w:r>
        <w:t xml:space="preserve">The Land Sector and Removals (LSR) Standard (2026 update), taking effect January 1, 2027, provides requirements for companies to quantify, report, and track land emissions, CO₂ removals, and other key metrics. While no specific land-use change or biogenic carbon data for "thevsulppj"\'s materials or processes were explicitly provided in the BOM, its principles are acknowledged in this analysis. For materials where land-use change, biogenic carbon sequestration, or emissions are relevant (e.g., agricultural products, wood), these would be quantified and reported separately within the appropriate scope (primarily Scope 3) and sub-categories to provide a more holistic view of nature-based impacts. A deeper dive would be needed for explicit LSR reporting if primary data were available and material to the product\'s footprint.</w:t>
      </w:r>
    </w:p>
    <w:p>
      <w:pPr>
        <w:pStyle w:val="BodyText"/>
      </w:pPr>
      <w:r>
        <w:rPr>
          <w:bCs/>
          <w:b/>
        </w:rPr>
        <w:t xml:space="preserve">Scope 3 Compliance:</w:t>
      </w:r>
      <w:r>
        <w:t xml:space="preserve"> </w:t>
      </w:r>
      <w:r>
        <w:t xml:space="preserve">With a comprehensive analysis covering materials (Category 1), production energy (Scope 2), transport (Categories 4 and 9), use phase (Category 11), and end-of-life (Category 12), this report aims for over 95% coverage for Scope 3 emissions, aligning with 2026 requirements. Key omitted categories for a product-specific PCF (e.g., capital goods, employee commuting, business travel) would be assessed in a full corporate GHG inventory but are typically outside this product\'s defined system boundary unless directly attributable.</w:t>
      </w:r>
    </w:p>
    <w:p>
      <w:r>
        <w:pict>
          <v:rect style="width:0;height:1.5pt" o:hralign="center" o:hrstd="t" o:hr="t"/>
        </w:pict>
      </w:r>
    </w:p>
    <w:bookmarkEnd w:id="40"/>
    <w:bookmarkEnd w:id="41"/>
    <w:bookmarkStart w:id="45" w:name="review-report-step-5"/>
    <w:p>
      <w:pPr>
        <w:pStyle w:val="Heading2"/>
      </w:pPr>
      <w:r>
        <w:t xml:space="preserve">6. Review &amp; Report (Step 5)</w:t>
      </w:r>
    </w:p>
    <w:bookmarkStart w:id="42" w:name="emission-hotspots"/>
    <w:p>
      <w:pPr>
        <w:pStyle w:val="Heading3"/>
      </w:pPr>
      <w:r>
        <w:t xml:space="preserve">6.1. Emission Hotspots</w:t>
      </w:r>
    </w:p>
    <w:p>
      <w:pPr>
        <w:pStyle w:val="FirstParagraph"/>
      </w:pPr>
      <w:r>
        <w:t xml:space="preserve">Based on the illustrative calculations, the primary emission hotspots for "thevsulppj" are:</w:t>
      </w:r>
    </w:p>
    <w:p>
      <w:pPr>
        <w:numPr>
          <w:ilvl w:val="0"/>
          <w:numId w:val="1014"/>
        </w:numPr>
        <w:pStyle w:val="Compact"/>
      </w:pPr>
      <w:r>
        <w:rPr>
          <w:bCs/>
          <w:b/>
        </w:rPr>
        <w:t xml:space="preserve">Use Phase (Scope 3, Category 11):</w:t>
      </w:r>
      <w:r>
        <w:t xml:space="preserve"> </w:t>
      </w:r>
      <w:r>
        <w:t xml:space="preserve">This is the largest contributor due to the product\'s energy consumption over its lifespan (14.42 kg CO2e/unit).</w:t>
      </w:r>
    </w:p>
    <w:p>
      <w:pPr>
        <w:numPr>
          <w:ilvl w:val="0"/>
          <w:numId w:val="1014"/>
        </w:numPr>
        <w:pStyle w:val="Compact"/>
      </w:pPr>
      <w:r>
        <w:rPr>
          <w:bCs/>
          <w:b/>
        </w:rPr>
        <w:t xml:space="preserve">Purchased Goods and Services (Scope 3, Category 1 - Materials):</w:t>
      </w:r>
      <w:r>
        <w:t xml:space="preserve"> </w:t>
      </w:r>
      <w:r>
        <w:t xml:space="preserve">The raw materials and components represent the second significant hotspot (5.33 kg CO2e/unit).</w:t>
      </w:r>
    </w:p>
    <w:p>
      <w:pPr>
        <w:numPr>
          <w:ilvl w:val="0"/>
          <w:numId w:val="1014"/>
        </w:numPr>
        <w:pStyle w:val="Compact"/>
      </w:pPr>
      <w:r>
        <w:rPr>
          <w:bCs/>
          <w:b/>
        </w:rPr>
        <w:t xml:space="preserve">Production Energy (Scope 2):</w:t>
      </w:r>
      <w:r>
        <w:t xml:space="preserve"> </w:t>
      </w:r>
      <w:r>
        <w:t xml:space="preserve">Manufacturing energy consumption contributes notably (1.55 kg CO2e/unit).</w:t>
      </w:r>
    </w:p>
    <w:bookmarkEnd w:id="42"/>
    <w:bookmarkStart w:id="43" w:name="reliability-and-limitations"/>
    <w:p>
      <w:pPr>
        <w:pStyle w:val="Heading3"/>
      </w:pPr>
      <w:r>
        <w:t xml:space="preserve">6.2. Reliability and Limitations</w:t>
      </w:r>
    </w:p>
    <w:p>
      <w:pPr>
        <w:pStyle w:val="FirstParagraph"/>
      </w:pPr>
      <w:r>
        <w:t xml:space="preserve">The reliability of this PCF analysis is high for the aspects where specific data was provided (BOM). However, it is important to acknowledge the following limitations:</w:t>
      </w:r>
    </w:p>
    <w:p>
      <w:pPr>
        <w:numPr>
          <w:ilvl w:val="0"/>
          <w:numId w:val="1015"/>
        </w:numPr>
        <w:pStyle w:val="Compact"/>
      </w:pPr>
      <w:r>
        <w:rPr>
          <w:bCs/>
          <w:b/>
        </w:rPr>
        <w:t xml:space="preserve">Illustrative Data:</w:t>
      </w:r>
      <w:r>
        <w:t xml:space="preserve"> </w:t>
      </w:r>
      <w:r>
        <w:t xml:space="preserve">Several key parameters (Transport Distance, Energy Intensity, Product Lifespan, Energy in Use, Recyclability Percentage) were provided as strings and thus illustrative numerical values were assumed for calculation purposes. Actual figures would require precise primary data collection.</w:t>
      </w:r>
    </w:p>
    <w:p>
      <w:pPr>
        <w:numPr>
          <w:ilvl w:val="0"/>
          <w:numId w:val="1015"/>
        </w:numPr>
        <w:pStyle w:val="Compact"/>
      </w:pPr>
      <w:r>
        <w:rPr>
          <w:bCs/>
          <w:b/>
        </w:rPr>
        <w:t xml:space="preserve">Emission Factors:</w:t>
      </w:r>
      <w:r>
        <w:t xml:space="preserve"> </w:t>
      </w:r>
      <w:r>
        <w:t xml:space="preserve">While stating the use of industry-standard emission factors, the specific factors for transport, grid electricity (China, Europe), and end-of-life scenarios were chosen as representative values or recent averages for demonstration. A comprehensive PCF would involve detailed lookup from specific, recent databases like Ecoinvent or DEFRA.</w:t>
      </w:r>
    </w:p>
    <w:p>
      <w:pPr>
        <w:numPr>
          <w:ilvl w:val="0"/>
          <w:numId w:val="1015"/>
        </w:numPr>
        <w:pStyle w:val="Compact"/>
      </w:pPr>
      <w:r>
        <w:rPr>
          <w:bCs/>
          <w:b/>
        </w:rPr>
        <w:t xml:space="preserve">System Boundary:</w:t>
      </w:r>
      <w:r>
        <w:t xml:space="preserve"> </w:t>
      </w:r>
      <w:r>
        <w:t xml:space="preserve">The "factory_gate" system boundary focuses on direct production and extends to include use and end-of-life. Other upstream/downstream Scope 3 categories were included based on relevance, but the depth of analysis for each category depends on data availability.</w:t>
      </w:r>
    </w:p>
    <w:bookmarkEnd w:id="43"/>
    <w:bookmarkStart w:id="44" w:name="recommendations-for-improvement"/>
    <w:p>
      <w:pPr>
        <w:pStyle w:val="Heading3"/>
      </w:pPr>
      <w:r>
        <w:t xml:space="preserve">6.3. Recommendations for Improvement</w:t>
      </w:r>
    </w:p>
    <w:p>
      <w:pPr>
        <w:numPr>
          <w:ilvl w:val="0"/>
          <w:numId w:val="1016"/>
        </w:numPr>
        <w:pStyle w:val="Compact"/>
      </w:pPr>
      <w:r>
        <w:rPr>
          <w:bCs/>
          <w:b/>
        </w:rPr>
        <w:t xml:space="preserve">Reduce Use Phase Impact:</w:t>
      </w:r>
      <w:r>
        <w:t xml:space="preserve"> </w:t>
      </w:r>
      <w:r>
        <w:t xml:space="preserve">Focus on improving energy efficiency of thevsulppj during its operational life. Explore lower power components, introduce energy-saving modes, or extend product lifespan further.</w:t>
      </w:r>
    </w:p>
    <w:p>
      <w:pPr>
        <w:numPr>
          <w:ilvl w:val="0"/>
          <w:numId w:val="1016"/>
        </w:numPr>
        <w:pStyle w:val="Compact"/>
      </w:pPr>
      <w:r>
        <w:rPr>
          <w:bCs/>
          <w:b/>
        </w:rPr>
        <w:t xml:space="preserve">Sustainable Material Sourcing:</w:t>
      </w:r>
      <w:r>
        <w:t xml:space="preserve"> </w:t>
      </w:r>
      <w:r>
        <w:t xml:space="preserve">Investigate alternative materials with lower carbon footprints for high-impact components, as identified in the BOM (e.g., Material A, Plastic Casing). Explore recycled content and bio-based alternatives.</w:t>
      </w:r>
    </w:p>
    <w:p>
      <w:pPr>
        <w:numPr>
          <w:ilvl w:val="0"/>
          <w:numId w:val="1016"/>
        </w:numPr>
        <w:pStyle w:val="Compact"/>
      </w:pPr>
      <w:r>
        <w:rPr>
          <w:bCs/>
          <w:b/>
        </w:rPr>
        <w:t xml:space="preserve">Renewable Energy Integration:</w:t>
      </w:r>
      <w:r>
        <w:t xml:space="preserve"> </w:t>
      </w:r>
      <w:r>
        <w:t xml:space="preserve">Continue to increase the share of renewable energy used in manufacturing facilities (`wxxddiuxfh`) and encourage suppliers to do the same.</w:t>
      </w:r>
    </w:p>
    <w:p>
      <w:pPr>
        <w:numPr>
          <w:ilvl w:val="0"/>
          <w:numId w:val="1016"/>
        </w:numPr>
        <w:pStyle w:val="Compact"/>
      </w:pPr>
      <w:r>
        <w:rPr>
          <w:bCs/>
          <w:b/>
        </w:rPr>
        <w:t xml:space="preserve">Circular Economy Initiatives:</w:t>
      </w:r>
      <w:r>
        <w:t xml:space="preserve"> </w:t>
      </w:r>
      <w:r>
        <w:t xml:space="preserve">Strengthen and promote the `ztdfldsutj` take-back program to maximize material recovery and recycling (`ylhyxiuxdt`), reducing the burden of virgin material production.</w:t>
      </w:r>
    </w:p>
    <w:p>
      <w:pPr>
        <w:numPr>
          <w:ilvl w:val="0"/>
          <w:numId w:val="1016"/>
        </w:numPr>
        <w:pStyle w:val="Compact"/>
      </w:pPr>
      <w:r>
        <w:rPr>
          <w:bCs/>
          <w:b/>
        </w:rPr>
        <w:t xml:space="preserve">Data Collection:</w:t>
      </w:r>
      <w:r>
        <w:t xml:space="preserve"> </w:t>
      </w:r>
      <w:r>
        <w:t xml:space="preserve">For future analyses, prioritize collecting primary data for transport distances, actual energy consumption in production, and more precise end-of-life processing data to enhance accuracy.</w:t>
      </w:r>
    </w:p>
    <w:p>
      <w:r>
        <w:pict>
          <v:rect style="width:0;height:1.5pt" o:hralign="center" o:hrstd="t" o:hr="t"/>
        </w:pict>
      </w:r>
    </w:p>
    <w:bookmarkEnd w:id="44"/>
    <w:bookmarkEnd w:id="45"/>
    <w:bookmarkStart w:id="46" w:name="conclusion"/>
    <w:p>
      <w:pPr>
        <w:pStyle w:val="Heading2"/>
      </w:pPr>
      <w:r>
        <w:t xml:space="preserve">7. Conclusion</w:t>
      </w:r>
    </w:p>
    <w:p>
      <w:pPr>
        <w:pStyle w:val="FirstParagraph"/>
      </w:pPr>
      <w:r>
        <w:t xml:space="preserve">This Product Carbon Footprint analysis for "thevsulppj" provides eunrpkrrlv with a critical understanding of its environmental impact, adhering to the robust GHG Protocol. The total illustrative PCF of 21.365 kg CO2e/unit highlights significant hotspots in the use phase and material acquisition. By addressing these areas through strategic design, sourcing, and operational improvements, eunrpkrrlv can significantly reduce the product\'s environmental footprint, demonstrating its commitment to sustainability and circular economy principles.</w:t>
      </w:r>
    </w:p>
    <w:p>
      <w:pPr>
        <w:pStyle w:val="BodyText"/>
      </w:pPr>
      <w:r>
        <w:t xml:space="preserve">Confidential - Internal Use Only | Page</w:t>
      </w:r>
      <w:r>
        <w:t xml:space="preserve"> </w:t>
      </w:r>
    </w:p>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thevsulppj</dc:title>
  <dc:creator/>
  <dc:description>A high-detail Product Carbon Footprint (PCF) analysis report for thevsulppj, following GHG Protocol standards, conducted by Senior Sustainability Consultant sufxqipnpl for eunrpkrrlv.</dc:description>
  <cp:keywords/>
  <dcterms:created xsi:type="dcterms:W3CDTF">2026-05-30T16:45:37Z</dcterms:created>
  <dcterms:modified xsi:type="dcterms:W3CDTF">2026-05-30T16:45:37Z</dcterms:modified>
</cp:coreProperties>
</file>

<file path=docProps/custom.xml><?xml version="1.0" encoding="utf-8"?>
<Properties xmlns="http://schemas.openxmlformats.org/officeDocument/2006/custom-properties" xmlns:vt="http://schemas.openxmlformats.org/officeDocument/2006/docPropsVTypes"/>
</file>