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tfqjmsijwy</w:t>
      </w:r>
    </w:p>
    <w:p>
      <w:pPr>
        <w:pStyle w:val="FirstParagraph"/>
      </w:pPr>
      <w:r>
        <w:rPr>
          <w:bCs/>
          <w:b/>
        </w:rPr>
        <w:t xml:space="preserve">carboncalcpcf.com</w:t>
      </w:r>
    </w:p>
    <w:bookmarkStart w:id="21" w:name="Xf2e6ab5be446359d80f42f50d41e46314dfe19d"/>
    <w:p>
      <w:pPr>
        <w:pStyle w:val="Heading1"/>
      </w:pPr>
      <w:r>
        <w:t xml:space="preserve">Product Carbon Footprint (PCF) Analysis Report</w:t>
      </w:r>
    </w:p>
    <w:bookmarkStart w:id="20" w:name="for-product-tfqjmsijwy"/>
    <w:p>
      <w:pPr>
        <w:pStyle w:val="Heading2"/>
      </w:pPr>
      <w:r>
        <w:t xml:space="preserve">For Product: tfqjmsijwy</w:t>
      </w:r>
    </w:p>
    <w:p>
      <w:pPr>
        <w:pStyle w:val="FirstParagraph"/>
      </w:pPr>
      <w:r>
        <w:rPr>
          <w:bCs/>
          <w:b/>
        </w:rPr>
        <w:t xml:space="preserve">Company:</w:t>
      </w:r>
      <w:r>
        <w:t xml:space="preserve"> </w:t>
      </w:r>
      <w:r>
        <w:t xml:space="preserve">zfuzxtkuwf</w:t>
      </w:r>
    </w:p>
    <w:p>
      <w:pPr>
        <w:pStyle w:val="BodyText"/>
      </w:pPr>
      <w:r>
        <w:rPr>
          <w:bCs/>
          <w:b/>
        </w:rPr>
        <w:t xml:space="preserve">Senior Sustainability Consultant:</w:t>
      </w:r>
      <w:r>
        <w:t xml:space="preserve"> </w:t>
      </w:r>
      <w:r>
        <w:t xml:space="preserve">fxpgmudsyh</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certain assumptions have been made where specific data points were placeholders or unavailable.</w:t>
      </w:r>
    </w:p>
    <w:bookmarkEnd w:id="20"/>
    <w:bookmarkEnd w:id="21"/>
    <w:bookmarkStart w:id="50" w:name="Xc62cb1f6e57bd1d43b1a5fae43a8e2877ec5c7f"/>
    <w:p>
      <w:pPr>
        <w:pStyle w:val="Heading1"/>
      </w:pPr>
      <w:r>
        <w:t xml:space="preserve">Product Carbon Footprint (PCF) Analysis Report</w:t>
      </w:r>
    </w:p>
    <w:p>
      <w:pPr>
        <w:pStyle w:val="FirstParagraph"/>
      </w:pPr>
      <w:r>
        <w:t xml:space="preserve">Generated Date: 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tfqjmsijwy</w:t>
      </w:r>
      <w:r>
        <w:t xml:space="preserve"> </w:t>
      </w:r>
      <w:r>
        <w:t xml:space="preserve">manufactured by</w:t>
      </w:r>
      <w:r>
        <w:t xml:space="preserve"> </w:t>
      </w:r>
      <w:r>
        <w:rPr>
          <w:bCs/>
          <w:b/>
        </w:rPr>
        <w:t xml:space="preserve">zfuzxtkuwf</w:t>
      </w:r>
      <w:r>
        <w:t xml:space="preserve">. The analysis, conducted by Senior Sustainability Consultant</w:t>
      </w:r>
      <w:r>
        <w:t xml:space="preserve"> </w:t>
      </w:r>
      <w:r>
        <w:rPr>
          <w:bCs/>
          <w:b/>
        </w:rPr>
        <w:t xml:space="preserve">fxpgmudsyh</w:t>
      </w:r>
      <w:r>
        <w:t xml:space="preserve">, adheres strictly to the GHG Protocol accounting standard, including considerations for the 2026 Land Sector and Removals (LSR) Standard and targeting 95% Scope 3 coverage. The primary goal is to quantify the greenhouse gas emissions associated with the entire lifecycle of one functional unit of tfqjmsijwy, from raw material extraction to end-of-life, identify emission hotspots, and provide a foundation for future decarbonization strategies. This comprehensive assessment incorporates specific Bill of Materials (BOM) data, energy usage, logistics, and end-of-life scenarios to ensure accuracy and relevance.</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tfqjmsijwy</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\'cradle-to-factory-gate\'</w:t>
      </w:r>
      <w:r>
        <w:t xml:space="preserve"> </w:t>
      </w:r>
      <w:r>
        <w:t xml:space="preserve">plus downstream phases. It encompasses the following lifecycle stages:</w:t>
      </w:r>
    </w:p>
    <w:p>
      <w:pPr>
        <w:numPr>
          <w:ilvl w:val="0"/>
          <w:numId w:val="1001"/>
        </w:numPr>
        <w:pStyle w:val="Compact"/>
      </w:pPr>
      <w:r>
        <w:rPr>
          <w:bCs/>
          <w:b/>
        </w:rPr>
        <w:t xml:space="preserve">Upstream (Scope 3):</w:t>
      </w:r>
      <w:r>
        <w:t xml:space="preserve"> </w:t>
      </w:r>
      <w:r>
        <w:t xml:space="preserve">Raw material extraction, processing, and manufacturing of components, as well as inbound logistics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and purchased energy emissions (Scope 2).</w:t>
      </w:r>
    </w:p>
    <w:p>
      <w:pPr>
        <w:numPr>
          <w:ilvl w:val="0"/>
          <w:numId w:val="1001"/>
        </w:numPr>
        <w:pStyle w:val="Compact"/>
      </w:pPr>
      <w:r>
        <w:rPr>
          <w:bCs/>
          <w:b/>
        </w:rPr>
        <w:t xml:space="preserve">Downstream (Scope 3):</w:t>
      </w:r>
      <w:r>
        <w:t xml:space="preserve"> </w:t>
      </w:r>
      <w:r>
        <w:t xml:space="preserve">Transportation of the finished product to the customer, the product\'s use phase, and its end-of-life treatment.</w:t>
      </w:r>
    </w:p>
    <w:bookmarkEnd w:id="24"/>
    <w:bookmarkStart w:id="25" w:name="geographic-scope"/>
    <w:p>
      <w:pPr>
        <w:pStyle w:val="Heading3"/>
      </w:pPr>
      <w:r>
        <w:t xml:space="preserve">1.3 Geographic Scope</w:t>
      </w:r>
    </w:p>
    <w:p>
      <w:pPr>
        <w:pStyle w:val="FirstParagraph"/>
      </w:pPr>
      <w:r>
        <w:t xml:space="preserve">The final production country for tfqjmsijwy is</w:t>
      </w:r>
      <w:r>
        <w:t xml:space="preserve"> </w:t>
      </w:r>
      <w:r>
        <w:rPr>
          <w:bCs/>
          <w:b/>
        </w:rPr>
        <w:t xml:space="preserve">China</w:t>
      </w:r>
      <w:r>
        <w:t xml:space="preserve">. The supply chain focus is predominantly</w:t>
      </w:r>
      <w:r>
        <w:t xml:space="preserve"> </w:t>
      </w:r>
      <w:r>
        <w:rPr>
          <w:bCs/>
          <w:b/>
        </w:rPr>
        <w:t xml:space="preserve">Europe Focused</w:t>
      </w:r>
      <w:r>
        <w:t xml:space="preserve"> </w:t>
      </w:r>
      <w:r>
        <w:t xml:space="preserve">for upstream components and materials, implying material sourcing and associated transportation impacts will reflect this geographical context.</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In anticipation of future requirements, this report also acknowledges and conceptually applies principles from the</w:t>
      </w:r>
      <w:r>
        <w:t xml:space="preserve"> </w:t>
      </w:r>
      <w:r>
        <w:rPr>
          <w:bCs/>
          <w:b/>
        </w:rPr>
        <w:t xml:space="preserve">2026 Land Sector and Removals (LSR) Standard</w:t>
      </w:r>
      <w:r>
        <w:t xml:space="preserve">, particularly for any land-use impacts associated with bio-based materials or removals, though specific data for these was not extensively provided in the raw input.</w:t>
      </w:r>
    </w:p>
    <w:bookmarkEnd w:id="26"/>
    <w:bookmarkStart w:id="27" w:name="allocation"/>
    <w:p>
      <w:pPr>
        <w:pStyle w:val="Heading3"/>
      </w:pPr>
      <w:r>
        <w:t xml:space="preserve">1.5 Allocation</w:t>
      </w:r>
    </w:p>
    <w:p>
      <w:pPr>
        <w:pStyle w:val="FirstParagraph"/>
      </w:pPr>
      <w:r>
        <w:t xml:space="preserve">Mass-based allocation is applied for co-products or multi-functional processes where necessary, following GHG Protocol guidance to attribute environmental burdens proportionally. For end-of-life, the "polluter pays" principle is adopted, attributing burdens to the product system causing them, with credits for recycled materials where applicable.</w:t>
      </w:r>
    </w:p>
    <w:p>
      <w:r>
        <w:pict>
          <v:rect style="width:0;height:1.5pt" o:hralign="center" o:hrstd="t" o:hr="t"/>
        </w:pict>
      </w:r>
    </w:p>
    <w:bookmarkEnd w:id="27"/>
    <w:bookmarkEnd w:id="28"/>
    <w:bookmarkStart w:id="34" w:name="lifecycle-mapping-data-collection"/>
    <w:p>
      <w:pPr>
        <w:pStyle w:val="Heading2"/>
      </w:pPr>
      <w:r>
        <w:t xml:space="preserve">2. Lifecycle Mapping &amp; Data Collection</w:t>
      </w:r>
    </w:p>
    <w:p>
      <w:pPr>
        <w:pStyle w:val="FirstParagraph"/>
      </w:pPr>
      <w:r>
        <w:t xml:space="preserve">This section details the lifecycle stages considered and the primary and secondary data points collected for the PCF analysis. Data collection prioritizes primary data (e.g., specific BOM, energy usage) and supplements with robust secondary data (e.g., industry-average emission factors).</w:t>
      </w:r>
    </w:p>
    <w:bookmarkStart w:id="29" w:name="X36b3fe2591483947980fda81eaedf7a31910935"/>
    <w:p>
      <w:pPr>
        <w:pStyle w:val="Heading3"/>
      </w:pPr>
      <w:r>
        <w:t xml:space="preserve">2.1 Detailed Bill of Materials (BOM) &amp; Material Inputs (Upstream - Scope 3)</w:t>
      </w:r>
    </w:p>
    <w:p>
      <w:pPr>
        <w:pStyle w:val="FirstParagraph"/>
      </w:pPr>
      <w:r>
        <w:t xml:space="preserve">The following detailed Bill of Materials (BOM) for tfqjmsijwy was provided and used for high-accuracy material impact calculation. The \'Total Carbon\' for each item, representing its cradle-to-gate emissions, is directly utilized as per the input data. The total weight of the product, derived from the sum of quantities, is estimated for logistical calculations.</w:t>
      </w:r>
    </w:p>
    <w:p>
      <w:pPr>
        <w:pStyle w:val="BodyText"/>
      </w:pPr>
      <w:r>
        <w:rPr>
          <w:bCs/>
          <w:b/>
        </w:rPr>
        <w:t xml:space="preserve">BOM Data (qnxlwkgi parsed):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8.0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bl>
    <w:p>
      <w:pPr>
        <w:pStyle w:val="BodyText"/>
      </w:pPr>
      <w:r>
        <w:rPr>
          <w:bCs/>
          <w:b/>
        </w:rPr>
        <w:t xml:space="preserve">Total Product Weight:</w:t>
      </w:r>
      <w:r>
        <w:t xml:space="preserve"> </w:t>
      </w:r>
      <w:r>
        <w:t xml:space="preserve">1.4 kg (sum of Qty from BOM, assuming kg for simplicity for all items for total weight). This value is used for transport calculations.</w:t>
      </w:r>
    </w:p>
    <w:bookmarkEnd w:id="29"/>
    <w:bookmarkStart w:id="30" w:name="X9dcd64205a4b308b32d4ca39f090c4681679b70"/>
    <w:p>
      <w:pPr>
        <w:pStyle w:val="Heading3"/>
      </w:pPr>
      <w:r>
        <w:t xml:space="preserve">2.2 Energy Inputs in Production (Core - Scope 2)</w:t>
      </w:r>
    </w:p>
    <w:p>
      <w:pPr>
        <w:pStyle w:val="FirstParagraph"/>
      </w:pPr>
      <w:r>
        <w:t xml:space="preserve">Energy consumption during the production phase at the zfuzxtkuwf facility in China is a significant factor. The following customization data was used:</w:t>
      </w:r>
    </w:p>
    <w:p>
      <w:pPr>
        <w:numPr>
          <w:ilvl w:val="0"/>
          <w:numId w:val="1002"/>
        </w:numPr>
        <w:pStyle w:val="Compact"/>
      </w:pPr>
      <w:r>
        <w:rPr>
          <w:bCs/>
          <w:b/>
        </w:rPr>
        <w:t xml:space="preserve">Energy Intensity (kWh/unit):</w:t>
      </w:r>
      <w:r>
        <w:t xml:space="preserve"> </w:t>
      </w:r>
      <w:r>
        <w:t xml:space="preserve">myddqwdjut kWh/unit</w:t>
      </w:r>
    </w:p>
    <w:p>
      <w:pPr>
        <w:numPr>
          <w:ilvl w:val="0"/>
          <w:numId w:val="1002"/>
        </w:numPr>
        <w:pStyle w:val="Compact"/>
      </w:pPr>
      <w:r>
        <w:rPr>
          <w:bCs/>
          <w:b/>
        </w:rPr>
        <w:t xml:space="preserve">Renewable Energy Usage:</w:t>
      </w:r>
      <w:r>
        <w:t xml:space="preserve"> </w:t>
      </w:r>
      <w:r>
        <w:t xml:space="preserve">sztwoohnzq% of total electricity sourced from renewable energy.</w:t>
      </w:r>
    </w:p>
    <w:bookmarkEnd w:id="30"/>
    <w:bookmarkStart w:id="31" w:name="Xf9232e81b9f53f0f65680fc57f79ac3811dc194"/>
    <w:p>
      <w:pPr>
        <w:pStyle w:val="Heading3"/>
      </w:pPr>
      <w:r>
        <w:t xml:space="preserve">2.3 Transportation Logistics (Upstream &amp; Downstream - Scope 3)</w:t>
      </w:r>
    </w:p>
    <w:p>
      <w:pPr>
        <w:pStyle w:val="FirstParagraph"/>
      </w:pPr>
      <w:r>
        <w:t xml:space="preserve">Specific logistics data has been incorporated:</w:t>
      </w:r>
    </w:p>
    <w:p>
      <w:pPr>
        <w:numPr>
          <w:ilvl w:val="0"/>
          <w:numId w:val="1003"/>
        </w:numPr>
        <w:pStyle w:val="Compact"/>
      </w:pPr>
      <w:r>
        <w:rPr>
          <w:bCs/>
          <w:b/>
        </w:rPr>
        <w:t xml:space="preserve">Primary Transport Mode (Finished Product):</w:t>
      </w:r>
      <w:r>
        <w:t xml:space="preserve"> </w:t>
      </w:r>
      <w:r>
        <w:t xml:space="preserve">Select Mode (assumed as Road Freight, Heavy Duty Truck)</w:t>
      </w:r>
    </w:p>
    <w:p>
      <w:pPr>
        <w:numPr>
          <w:ilvl w:val="0"/>
          <w:numId w:val="1003"/>
        </w:numPr>
        <w:pStyle w:val="Compact"/>
      </w:pPr>
      <w:r>
        <w:rPr>
          <w:bCs/>
          <w:b/>
        </w:rPr>
        <w:t xml:space="preserve">Transport Distance (Finished Product):</w:t>
      </w:r>
      <w:r>
        <w:t xml:space="preserve"> </w:t>
      </w:r>
      <w:r>
        <w:t xml:space="preserve">npjieukugn km (assumed as 1500 km)</w:t>
      </w:r>
    </w:p>
    <w:p>
      <w:pPr>
        <w:numPr>
          <w:ilvl w:val="0"/>
          <w:numId w:val="1003"/>
        </w:numPr>
        <w:pStyle w:val="Compact"/>
      </w:pPr>
      <w:r>
        <w:rPr>
          <w:bCs/>
          <w:b/>
        </w:rPr>
        <w:t xml:space="preserve">Last-Mile Delivery Channel:</w:t>
      </w:r>
      <w:r>
        <w:t xml:space="preserve"> </w:t>
      </w:r>
      <w:r>
        <w:t xml:space="preserve">Delivery Type (assumed as Van Delivery)</w:t>
      </w:r>
    </w:p>
    <w:p>
      <w:pPr>
        <w:pStyle w:val="FirstParagraph"/>
      </w:pPr>
      <w:r>
        <w:t xml:space="preserve">For inbound logistics of raw materials, an estimated average distance and mode (Road Freight) are assumed based on a Europe-focused supply chain.</w:t>
      </w:r>
    </w:p>
    <w:bookmarkEnd w:id="31"/>
    <w:bookmarkStart w:id="32" w:name="product-use-phase-downstream---scope-3"/>
    <w:p>
      <w:pPr>
        <w:pStyle w:val="Heading3"/>
      </w:pPr>
      <w:r>
        <w:t xml:space="preserve">2.4 Product Use Phase (Downstream - Scope 3)</w:t>
      </w:r>
    </w:p>
    <w:p>
      <w:pPr>
        <w:pStyle w:val="FirstParagraph"/>
      </w:pPr>
      <w:r>
        <w:t xml:space="preserve">The following data was used to calculate the use phase impact:</w:t>
      </w:r>
    </w:p>
    <w:p>
      <w:pPr>
        <w:numPr>
          <w:ilvl w:val="0"/>
          <w:numId w:val="1004"/>
        </w:numPr>
        <w:pStyle w:val="Compact"/>
      </w:pPr>
      <w:r>
        <w:rPr>
          <w:bCs/>
          <w:b/>
        </w:rPr>
        <w:t xml:space="preserve">Product Lifespan:</w:t>
      </w:r>
      <w:r>
        <w:t xml:space="preserve"> </w:t>
      </w:r>
      <w:r>
        <w:t xml:space="preserve">gwppyespol years (assumed as 5 years)</w:t>
      </w:r>
    </w:p>
    <w:p>
      <w:pPr>
        <w:numPr>
          <w:ilvl w:val="0"/>
          <w:numId w:val="1004"/>
        </w:numPr>
        <w:pStyle w:val="Compact"/>
      </w:pPr>
      <w:r>
        <w:rPr>
          <w:bCs/>
          <w:b/>
        </w:rPr>
        <w:t xml:space="preserve">Energy Consumption in Use:</w:t>
      </w:r>
      <w:r>
        <w:t xml:space="preserve"> </w:t>
      </w:r>
      <w:r>
        <w:t xml:space="preserve">jhwwwmtfgs kWh/year (assumed as 10 kWh/year)</w:t>
      </w:r>
    </w:p>
    <w:bookmarkEnd w:id="32"/>
    <w:bookmarkStart w:id="33" w:name="Xbd5ce2581a055ba0d05236edb0e67e8783fa2ac"/>
    <w:p>
      <w:pPr>
        <w:pStyle w:val="Heading3"/>
      </w:pPr>
      <w:r>
        <w:t xml:space="preserve">2.5 End-of-Life (EoL) Scenarios (Downstream - Scope 3)</w:t>
      </w:r>
    </w:p>
    <w:p>
      <w:pPr>
        <w:pStyle w:val="FirstParagraph"/>
      </w:pPr>
      <w:r>
        <w:t xml:space="preserve">Circular economy impacts are considered based on:</w:t>
      </w:r>
    </w:p>
    <w:p>
      <w:pPr>
        <w:numPr>
          <w:ilvl w:val="0"/>
          <w:numId w:val="1005"/>
        </w:numPr>
        <w:pStyle w:val="Compact"/>
      </w:pPr>
      <w:r>
        <w:rPr>
          <w:bCs/>
          <w:b/>
        </w:rPr>
        <w:t xml:space="preserve">Recyclability Percentage:</w:t>
      </w:r>
      <w:r>
        <w:t xml:space="preserve"> </w:t>
      </w:r>
      <w:r>
        <w:t xml:space="preserve">gkxeziwkwg% (assumed as 80%)</w:t>
      </w:r>
    </w:p>
    <w:p>
      <w:pPr>
        <w:numPr>
          <w:ilvl w:val="0"/>
          <w:numId w:val="1005"/>
        </w:numPr>
        <w:pStyle w:val="Compact"/>
      </w:pPr>
      <w:r>
        <w:rPr>
          <w:bCs/>
          <w:b/>
        </w:rPr>
        <w:t xml:space="preserve">Circular/Take-back Programs:</w:t>
      </w:r>
      <w:r>
        <w:t xml:space="preserve"> </w:t>
      </w:r>
      <w:r>
        <w:t xml:space="preserve">fgjlvdwnxj (assumed as "Established take-back program for key components")</w:t>
      </w:r>
    </w:p>
    <w:p>
      <w:r>
        <w:pict>
          <v:rect style="width:0;height:1.5pt" o:hralign="center" o:hrstd="t" o:hr="t"/>
        </w:pict>
      </w:r>
    </w:p>
    <w:bookmarkEnd w:id="33"/>
    <w:bookmarkEnd w:id="34"/>
    <w:bookmarkStart w:id="43" w:name="emission-calculations"/>
    <w:p>
      <w:pPr>
        <w:pStyle w:val="Heading2"/>
      </w:pPr>
      <w:r>
        <w:t xml:space="preserve">3. Emission Calculations</w:t>
      </w:r>
    </w:p>
    <w:p>
      <w:pPr>
        <w:pStyle w:val="FirstParagraph"/>
      </w:pPr>
      <w:r>
        <w:t xml:space="preserve">Emissions are calculated based on activity data multiplied by appropriate emission factors (Activity × Emission Factor = CO2e). Industry-standard emission factors from reputable sources (e.g., Ecoinvent, DEFRA, national energy agencies) are utilized where specific factors are not provided in the BOM.</w:t>
      </w:r>
    </w:p>
    <w:bookmarkStart w:id="35" w:name="Xe45dc5cf8941a56925ff2a18d9208ded81ddc33"/>
    <w:p>
      <w:pPr>
        <w:pStyle w:val="Heading3"/>
      </w:pPr>
      <w:r>
        <w:t xml:space="preserve">3.1 Assumed Emission Factors for Calculations</w:t>
      </w:r>
    </w:p>
    <w:p>
      <w:pPr>
        <w:pStyle w:val="FirstParagraph"/>
      </w:pPr>
      <w:r>
        <w:t xml:space="preserve">To perform calculations for placeholder values, the following illustrative industry-standard emission factors were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 (Illustrative)</w:t>
            </w:r>
          </w:p>
        </w:tc>
      </w:tr>
      <w:tr>
        <w:tc>
          <w:tcPr/>
          <w:p>
            <w:pPr>
              <w:pStyle w:val="Compact"/>
              <w:jc w:val="left"/>
            </w:pPr>
            <w:r>
              <w:t xml:space="preserve">Electricity Grid (China Average)</w:t>
            </w:r>
          </w:p>
        </w:tc>
        <w:tc>
          <w:tcPr/>
          <w:p>
            <w:pPr>
              <w:pStyle w:val="Compact"/>
              <w:jc w:val="left"/>
            </w:pPr>
            <w:r>
              <w:t xml:space="preserve">0.65</w:t>
            </w:r>
          </w:p>
        </w:tc>
        <w:tc>
          <w:tcPr/>
          <w:p>
            <w:pPr>
              <w:pStyle w:val="Compact"/>
              <w:jc w:val="left"/>
            </w:pPr>
            <w:r>
              <w:t xml:space="preserve">kg CO2e/kWh</w:t>
            </w:r>
          </w:p>
        </w:tc>
        <w:tc>
          <w:tcPr/>
          <w:p>
            <w:pPr>
              <w:pStyle w:val="Compact"/>
              <w:jc w:val="left"/>
            </w:pPr>
            <w:r>
              <w:t xml:space="preserve">IEA / National Sources</w:t>
            </w:r>
          </w:p>
        </w:tc>
      </w:tr>
      <w:tr>
        <w:tc>
          <w:tcPr/>
          <w:p>
            <w:pPr>
              <w:pStyle w:val="Compact"/>
              <w:jc w:val="left"/>
            </w:pPr>
            <w:r>
              <w:t xml:space="preserve">Renewable Electricity (Solar/Wind)</w:t>
            </w:r>
          </w:p>
        </w:tc>
        <w:tc>
          <w:tcPr/>
          <w:p>
            <w:pPr>
              <w:pStyle w:val="Compact"/>
              <w:jc w:val="left"/>
            </w:pPr>
            <w:r>
              <w:t xml:space="preserve">0.02</w:t>
            </w:r>
          </w:p>
        </w:tc>
        <w:tc>
          <w:tcPr/>
          <w:p>
            <w:pPr>
              <w:pStyle w:val="Compact"/>
              <w:jc w:val="left"/>
            </w:pPr>
            <w:r>
              <w:t xml:space="preserve">kg CO2e/kWh</w:t>
            </w:r>
          </w:p>
        </w:tc>
        <w:tc>
          <w:tcPr/>
          <w:p>
            <w:pPr>
              <w:pStyle w:val="Compact"/>
              <w:jc w:val="left"/>
            </w:pPr>
            <w:r>
              <w:t xml:space="preserve">Ecoinvent / IPCC</w:t>
            </w:r>
          </w:p>
        </w:tc>
      </w:tr>
      <w:tr>
        <w:tc>
          <w:tcPr/>
          <w:p>
            <w:pPr>
              <w:pStyle w:val="Compact"/>
              <w:jc w:val="left"/>
            </w:pPr>
            <w:r>
              <w:t xml:space="preserve">Road Freight (Heavy Duty Truck)</w:t>
            </w:r>
          </w:p>
        </w:tc>
        <w:tc>
          <w:tcPr/>
          <w:p>
            <w:pPr>
              <w:pStyle w:val="Compact"/>
              <w:jc w:val="left"/>
            </w:pPr>
            <w:r>
              <w:t xml:space="preserve">0.08</w:t>
            </w:r>
          </w:p>
        </w:tc>
        <w:tc>
          <w:tcPr/>
          <w:p>
            <w:pPr>
              <w:pStyle w:val="Compact"/>
              <w:jc w:val="left"/>
            </w:pPr>
            <w:r>
              <w:t xml:space="preserve">kg CO2e/tkm</w:t>
            </w:r>
          </w:p>
        </w:tc>
        <w:tc>
          <w:tcPr/>
          <w:p>
            <w:pPr>
              <w:pStyle w:val="Compact"/>
              <w:jc w:val="left"/>
            </w:pPr>
            <w:r>
              <w:t xml:space="preserve">DEFRA / Ecoinvent</w:t>
            </w:r>
          </w:p>
        </w:tc>
      </w:tr>
      <w:tr>
        <w:tc>
          <w:tcPr/>
          <w:p>
            <w:pPr>
              <w:pStyle w:val="Compact"/>
              <w:jc w:val="left"/>
            </w:pPr>
            <w:r>
              <w:t xml:space="preserve">Van Delivery (Last Mile)</w:t>
            </w:r>
          </w:p>
        </w:tc>
        <w:tc>
          <w:tcPr/>
          <w:p>
            <w:pPr>
              <w:pStyle w:val="Compact"/>
              <w:jc w:val="left"/>
            </w:pPr>
            <w:r>
              <w:t xml:space="preserve">0.20</w:t>
            </w:r>
          </w:p>
        </w:tc>
        <w:tc>
          <w:tcPr/>
          <w:p>
            <w:pPr>
              <w:pStyle w:val="Compact"/>
              <w:jc w:val="left"/>
            </w:pPr>
            <w:r>
              <w:t xml:space="preserve">kg CO2e/tkm</w:t>
            </w:r>
          </w:p>
        </w:tc>
        <w:tc>
          <w:tcPr/>
          <w:p>
            <w:pPr>
              <w:pStyle w:val="Compact"/>
              <w:jc w:val="left"/>
            </w:pPr>
            <w:r>
              <w:t xml:space="preserve">DEFRA / Industry Average</w:t>
            </w:r>
          </w:p>
        </w:tc>
      </w:tr>
      <w:tr>
        <w:tc>
          <w:tcPr/>
          <w:p>
            <w:pPr>
              <w:pStyle w:val="Compact"/>
              <w:jc w:val="left"/>
            </w:pPr>
            <w:r>
              <w:t xml:space="preserve">Electricity Grid (Global Average for Use Phase)</w:t>
            </w:r>
          </w:p>
        </w:tc>
        <w:tc>
          <w:tcPr/>
          <w:p>
            <w:pPr>
              <w:pStyle w:val="Compact"/>
              <w:jc w:val="left"/>
            </w:pPr>
            <w:r>
              <w:t xml:space="preserve">0.40</w:t>
            </w:r>
          </w:p>
        </w:tc>
        <w:tc>
          <w:tcPr/>
          <w:p>
            <w:pPr>
              <w:pStyle w:val="Compact"/>
              <w:jc w:val="left"/>
            </w:pPr>
            <w:r>
              <w:t xml:space="preserve">kg CO2e/kWh</w:t>
            </w:r>
          </w:p>
        </w:tc>
        <w:tc>
          <w:tcPr/>
          <w:p>
            <w:pPr>
              <w:pStyle w:val="Compact"/>
              <w:jc w:val="left"/>
            </w:pPr>
            <w:r>
              <w:t xml:space="preserve">IEA / World Bank</w:t>
            </w:r>
          </w:p>
        </w:tc>
      </w:tr>
      <w:tr>
        <w:tc>
          <w:tcPr/>
          <w:p>
            <w:pPr>
              <w:pStyle w:val="Compact"/>
              <w:jc w:val="left"/>
            </w:pPr>
            <w:r>
              <w:t xml:space="preserve">Landfill Disposal (Mixed Waste)</w:t>
            </w:r>
          </w:p>
        </w:tc>
        <w:tc>
          <w:tcPr/>
          <w:p>
            <w:pPr>
              <w:pStyle w:val="Compact"/>
              <w:jc w:val="left"/>
            </w:pPr>
            <w:r>
              <w:t xml:space="preserve">0.10</w:t>
            </w:r>
          </w:p>
        </w:tc>
        <w:tc>
          <w:tcPr/>
          <w:p>
            <w:pPr>
              <w:pStyle w:val="Compact"/>
              <w:jc w:val="left"/>
            </w:pPr>
            <w:r>
              <w:t xml:space="preserve">kg CO2e/kg</w:t>
            </w:r>
          </w:p>
        </w:tc>
        <w:tc>
          <w:tcPr/>
          <w:p>
            <w:pPr>
              <w:pStyle w:val="Compact"/>
              <w:jc w:val="left"/>
            </w:pPr>
            <w:r>
              <w:t xml:space="preserve">Ecoinvent / Regional Data</w:t>
            </w:r>
          </w:p>
        </w:tc>
      </w:tr>
      <w:tr>
        <w:tc>
          <w:tcPr/>
          <w:p>
            <w:pPr>
              <w:pStyle w:val="Compact"/>
              <w:jc w:val="left"/>
            </w:pPr>
            <w:r>
              <w:t xml:space="preserve">Recycling Credit (e.g., Aluminum, Plastics)</w:t>
            </w:r>
          </w:p>
        </w:tc>
        <w:tc>
          <w:tcPr/>
          <w:p>
            <w:pPr>
              <w:pStyle w:val="Compact"/>
              <w:jc w:val="left"/>
            </w:pPr>
            <w:r>
              <w:t xml:space="preserve">-0.5 to -2.0</w:t>
            </w:r>
          </w:p>
        </w:tc>
        <w:tc>
          <w:tcPr/>
          <w:p>
            <w:pPr>
              <w:pStyle w:val="Compact"/>
              <w:jc w:val="left"/>
            </w:pPr>
            <w:r>
              <w:t xml:space="preserve">kg CO2e/kg</w:t>
            </w:r>
          </w:p>
        </w:tc>
        <w:tc>
          <w:tcPr/>
          <w:p>
            <w:pPr>
              <w:pStyle w:val="Compact"/>
              <w:jc w:val="left"/>
            </w:pPr>
            <w:r>
              <w:t xml:space="preserve">Ecoinvent / Industry LCA</w:t>
            </w:r>
          </w:p>
        </w:tc>
      </w:tr>
    </w:tbl>
    <w:p>
      <w:pPr>
        <w:pStyle w:val="BodyText"/>
      </w:pPr>
      <w:r>
        <w:rPr>
          <w:iCs/>
          <w:i/>
        </w:rPr>
        <w:t xml:space="preserve">Note: A single average recycling credit of -1.0 kg CO2e/kg is used for simplified calculation for the recyclable portion.</w:t>
      </w:r>
    </w:p>
    <w:bookmarkEnd w:id="35"/>
    <w:bookmarkStart w:id="41" w:name="X8d734699a47987e901d5cca863133ade0dbd289"/>
    <w:p>
      <w:pPr>
        <w:pStyle w:val="Heading3"/>
      </w:pPr>
      <w:r>
        <w:t xml:space="preserve">3.2 Lifecycle Stage Emission Breakdown (per Functional Unit)</w:t>
      </w:r>
    </w:p>
    <w:bookmarkStart w:id="36" w:name="X648dd25f8f87885a6ad98f5d1837d70f0246692"/>
    <w:p>
      <w:pPr>
        <w:pStyle w:val="Heading4"/>
      </w:pPr>
      <w:r>
        <w:t xml:space="preserve">3.2.1 Materials Acquisition &amp; Processing (Upstream - Scope 3)</w:t>
      </w:r>
    </w:p>
    <w:p>
      <w:pPr>
        <w:pStyle w:val="FirstParagraph"/>
      </w:pPr>
      <w:r>
        <w:t xml:space="preserve">Based on the provided BOM, the sum of \'Total Carbon\' for all materials contributes to this phase. This represents the \'cradle-to-gate\' emissions of the raw and processed materials before they arrive at the manufacturing facility.</w:t>
      </w:r>
    </w:p>
    <w:bookmarkEnd w:id="36"/>
    <w:bookmarkStart w:id="37" w:name="manufacturing-core---scope-1-2"/>
    <w:p>
      <w:pPr>
        <w:pStyle w:val="Heading4"/>
      </w:pPr>
      <w:r>
        <w:t xml:space="preserve">3.2.2 Manufacturing (Core - Scope 1 &amp; 2)</w:t>
      </w:r>
    </w:p>
    <w:p>
      <w:pPr>
        <w:pStyle w:val="FirstParagraph"/>
      </w:pPr>
      <w:r>
        <w:t xml:space="preserve">This phase covers the energy consumption during the assembly and production of tfqjmsijwy at the zfuzxtkuwf facility in China.</w:t>
      </w:r>
    </w:p>
    <w:p>
      <w:pPr>
        <w:pStyle w:val="BodyText"/>
      </w:pPr>
      <w:r>
        <w:t xml:space="preserve">0.75</w:t>
      </w:r>
      <w:r>
        <w:t xml:space="preserve"> </w:t>
      </w:r>
      <w:r>
        <w:t xml:space="preserve">// Assume actual values for placeholders for calculation</w:t>
      </w:r>
      <w:r>
        <w:t xml:space="preserve"> </w:t>
      </w:r>
      <w:r>
        <w:t xml:space="preserve">if (is_numeric(\'myddqwdjut\')) {</w:t>
      </w:r>
      <w:r>
        <w:t xml:space="preserve"> </w:t>
      </w:r>
      <w:r>
        <w:t xml:space="preserve">$energy_intensity_kwh = (float)\'myddqwdjut\';</w:t>
      </w:r>
      <w:r>
        <w:t xml:space="preserve"> </w:t>
      </w:r>
      <w:r>
        <w:t xml:space="preserve">} else {</w:t>
      </w:r>
      <w:r>
        <w:t xml:space="preserve"> </w:t>
      </w:r>
      <w:r>
        <w:t xml:space="preserve">$energy_intensity_kwh = 50; // Default assumption if placeholder is not numeric</w:t>
      </w:r>
      <w:r>
        <w:t xml:space="preserve"> </w:t>
      </w:r>
      <w:r>
        <w:t xml:space="preserve">}</w:t>
      </w:r>
      <w:r>
        <w:t xml:space="preserve"> </w:t>
      </w:r>
      <w:r>
        <w:t xml:space="preserve">if (is_numeric(\'sztwoohnzq\')) {</w:t>
      </w:r>
      <w:r>
        <w:t xml:space="preserve"> </w:t>
      </w:r>
      <w:r>
        <w:t xml:space="preserve">$renewable_usage_percentage = (float)\'sztwoohnzq\' / 100;</w:t>
      </w:r>
      <w:r>
        <w:t xml:space="preserve"> </w:t>
      </w:r>
      <w:r>
        <w:t xml:space="preserve">} else {</w:t>
      </w:r>
      <w:r>
        <w:t xml:space="preserve"> </w:t>
      </w:r>
      <w:r>
        <w:t xml:space="preserve">$renewable_usage_percentage = 0.75; // Default assumption if placeholder is not numeric</w:t>
      </w:r>
      <w:r>
        <w:t xml:space="preserve"> </w:t>
      </w:r>
      <w:r>
        <w:t xml:space="preserve">}</w:t>
      </w:r>
      <w:r>
        <w:t xml:space="preserve"> </w:t>
      </w:r>
      <w:r>
        <w:t xml:space="preserve">$non_renewable_electricity_kwh = $energy_intensity_kwh * (1 - $renewable_usage_percentage);</w:t>
      </w:r>
      <w:r>
        <w:t xml:space="preserve"> </w:t>
      </w:r>
      <w:r>
        <w:t xml:space="preserve">$renewable_electricity_kwh = $energy_intensity_kwh * $renewable_usage_percentage;</w:t>
      </w:r>
      <w:r>
        <w:t xml:space="preserve"> </w:t>
      </w:r>
      <w:r>
        <w:t xml:space="preserve">$china_grid_ef = 0.65; // kg CO2e/kWh</w:t>
      </w:r>
      <w:r>
        <w:t xml:space="preserve"> </w:t>
      </w:r>
      <w:r>
        <w:t xml:space="preserve">$renewable_ef = 0.02; // kg CO2e/kWh</w:t>
      </w:r>
      <w:r>
        <w:t xml:space="preserve"> </w:t>
      </w:r>
      <w:r>
        <w:t xml:space="preserve">$scope2_emissions_non_renewable = $non_renewable_electricity_kwh * $china_grid_ef;</w:t>
      </w:r>
      <w:r>
        <w:t xml:space="preserve"> </w:t>
      </w:r>
      <w:r>
        <w:t xml:space="preserve">$scope2_emissions_renewable = $renewable_electricity_kwh * $renewable_ef;</w:t>
      </w:r>
      <w:r>
        <w:t xml:space="preserve"> </w:t>
      </w:r>
      <w:r>
        <w:t xml:space="preserve">$total_manufacturing_emissions = $scope2_emissions_non_renewable + $scope2_emissions_renewable;</w:t>
      </w:r>
      <w:r>
        <w:t xml:space="preserve"> </w:t>
      </w:r>
      <w:r>
        <w:t xml:space="preserve">echo "</w:t>
      </w:r>
    </w:p>
    <w:p>
      <w:pPr>
        <w:pStyle w:val="BodyText"/>
      </w:pPr>
      <w:r>
        <w:t xml:space="preserve">Total Energy Consumption: " . number_format($energy_intensity_kwh, 2) . " kWh/unit</w:t>
      </w:r>
    </w:p>
    <w:p>
      <w:pPr>
        <w:pStyle w:val="BodyText"/>
      </w:pPr>
      <w:r>
        <w:t xml:space="preserve">";</w:t>
      </w:r>
      <w:r>
        <w:t xml:space="preserve"> </w:t>
      </w:r>
      <w:r>
        <w:t xml:space="preserve">echo "</w:t>
      </w:r>
    </w:p>
    <w:p>
      <w:pPr>
        <w:pStyle w:val="BodyText"/>
      </w:pPr>
      <w:r>
        <w:t xml:space="preserve">Renewable Energy Sourced: " . number_format($renewable_usage_percentage * 100, 2) . "%</w:t>
      </w:r>
    </w:p>
    <w:p>
      <w:pPr>
        <w:pStyle w:val="BodyText"/>
      </w:pPr>
      <w:r>
        <w:t xml:space="preserve">";</w:t>
      </w:r>
      <w:r>
        <w:t xml:space="preserve"> </w:t>
      </w:r>
      <w:r>
        <w:t xml:space="preserve">echo "</w:t>
      </w:r>
    </w:p>
    <w:p>
      <w:pPr>
        <w:pStyle w:val="BodyText"/>
      </w:pPr>
      <w:r>
        <w:t xml:space="preserve">Non-renewable Electricity Emissions (Scope 2): " . number_format($scope2_emissions_non_renewable, 2) . " kg CO2e</w:t>
      </w:r>
    </w:p>
    <w:p>
      <w:pPr>
        <w:pStyle w:val="BodyText"/>
      </w:pPr>
      <w:r>
        <w:t xml:space="preserve">";</w:t>
      </w:r>
      <w:r>
        <w:t xml:space="preserve"> </w:t>
      </w:r>
      <w:r>
        <w:t xml:space="preserve">echo "</w:t>
      </w:r>
    </w:p>
    <w:p>
      <w:pPr>
        <w:pStyle w:val="BodyText"/>
      </w:pPr>
      <w:r>
        <w:t xml:space="preserve">Renewable Electricity Emissions (Scope 2): " . number_format($scope2_emissions_renewable, 2) . " kg CO2e</w:t>
      </w:r>
    </w:p>
    <w:p>
      <w:pPr>
        <w:pStyle w:val="BodyText"/>
      </w:pPr>
      <w:r>
        <w:t xml:space="preserve">";</w:t>
      </w:r>
      <w:r>
        <w:t xml:space="preserve"> </w:t>
      </w:r>
      <w:r>
        <w:t xml:space="preserve">echo "</w:t>
      </w:r>
    </w:p>
    <w:p>
      <w:pPr>
        <w:pStyle w:val="BodyText"/>
      </w:pPr>
      <w:r>
        <w:rPr>
          <w:bCs/>
          <w:b/>
        </w:rPr>
        <w:t xml:space="preserve">Total Manufacturing Emissions (Scope 2):</w:t>
      </w:r>
      <w:r>
        <w:t xml:space="preserve"> </w:t>
      </w:r>
      <w:r>
        <w:t xml:space="preserve">" . number_format($total_manufacturing_emissions, 2) . " kg CO2e</w:t>
      </w:r>
    </w:p>
    <w:p>
      <w:pPr>
        <w:pStyle w:val="BodyText"/>
      </w:pPr>
      <w:r>
        <w:t xml:space="preserve">";</w:t>
      </w:r>
      <w:r>
        <w:t xml:space="preserve"> </w:t>
      </w:r>
      <w:r>
        <w:t xml:space="preserve">echo "</w:t>
      </w:r>
    </w:p>
    <w:p>
      <w:pPr>
        <w:pStyle w:val="BodyText"/>
      </w:pPr>
      <w:r>
        <w:rPr>
          <w:iCs/>
          <w:i/>
        </w:rPr>
        <w:t xml:space="preserve">(Scope 1 emissions are assumed negligible as no direct combustion data was provided.)</w:t>
      </w:r>
    </w:p>
    <w:p>
      <w:pPr>
        <w:pStyle w:val="BodyText"/>
      </w:pPr>
      <w:r>
        <w:t xml:space="preserve">";</w:t>
      </w:r>
      <w:r>
        <w:t xml:space="preserve"> </w:t>
      </w:r>
      <w:r>
        <w:t xml:space="preserve">?&gt;</w:t>
      </w:r>
    </w:p>
    <w:bookmarkEnd w:id="37"/>
    <w:bookmarkStart w:id="38" w:name="X11f5d096783fb9d2822b064c95541c3fbb06886"/>
    <w:p>
      <w:pPr>
        <w:pStyle w:val="Heading4"/>
      </w:pPr>
      <w:r>
        <w:t xml:space="preserve">3.2.3 Transportation (Upstream &amp; Downstream - Scope 3)</w:t>
      </w:r>
    </w:p>
    <w:p>
      <w:pPr>
        <w:pStyle w:val="FirstParagraph"/>
      </w:pPr>
      <w:r>
        <w:t xml:space="preserve">This includes inbound transport of materials and outbound transport of the finished product to the customer.</w:t>
      </w:r>
    </w:p>
    <w:bookmarkEnd w:id="38"/>
    <w:bookmarkStart w:id="39" w:name="use-phase-downstream---scope-3"/>
    <w:p>
      <w:pPr>
        <w:pStyle w:val="Heading4"/>
      </w:pPr>
      <w:r>
        <w:t xml:space="preserve">3.2.4 Use Phase (Downstream - Scope 3)</w:t>
      </w:r>
    </w:p>
    <w:p>
      <w:pPr>
        <w:pStyle w:val="FirstParagraph"/>
      </w:pPr>
      <w:r>
        <w:t xml:space="preserve">Emissions from the energy consumed during the product\'s operational life.</w:t>
      </w:r>
    </w:p>
    <w:bookmarkEnd w:id="39"/>
    <w:bookmarkStart w:id="40" w:name="end-of-life-eol-downstream---scope-3"/>
    <w:p>
      <w:pPr>
        <w:pStyle w:val="Heading4"/>
      </w:pPr>
      <w:r>
        <w:t xml:space="preserve">3.2.5 End-of-Life (EoL) (Downstream - Scope 3)</w:t>
      </w:r>
    </w:p>
    <w:p>
      <w:pPr>
        <w:pStyle w:val="FirstParagraph"/>
      </w:pPr>
      <w:r>
        <w:t xml:space="preserve">Impacts from disposal or recycling of the product at the end of its life.</w:t>
      </w:r>
    </w:p>
    <w:p>
      <w:pPr>
        <w:pStyle w:val="BodyText"/>
      </w:pPr>
      <w:r>
        <w:t xml:space="preserve">0.80</w:t>
      </w:r>
      <w:r>
        <w:t xml:space="preserve"> </w:t>
      </w:r>
      <w:r>
        <w:t xml:space="preserve">if (!is_numeric(\'gkxeziwkwg\')) {</w:t>
      </w:r>
      <w:r>
        <w:t xml:space="preserve"> </w:t>
      </w:r>
      <w:r>
        <w:t xml:space="preserve">$recyclability_percentage = 0.80; // Default if not numeric</w:t>
      </w:r>
      <w:r>
        <w:t xml:space="preserve"> </w:t>
      </w:r>
      <w:r>
        <w:t xml:space="preserve">}</w:t>
      </w:r>
      <w:r>
        <w:t xml:space="preserve"> </w:t>
      </w:r>
      <w:r>
        <w:t xml:space="preserve">$weight_to_landfill_kg = $total_product_weight_kg * (1 - $recyclability_percentage);</w:t>
      </w:r>
      <w:r>
        <w:t xml:space="preserve"> </w:t>
      </w:r>
      <w:r>
        <w:t xml:space="preserve">$weight_to_recycling_kg = $total_product_weight_kg * $recyclability_percentage;</w:t>
      </w:r>
      <w:r>
        <w:t xml:space="preserve"> </w:t>
      </w:r>
      <w:r>
        <w:t xml:space="preserve">$landfill_ef = 0.10; // kg CO2e/kg</w:t>
      </w:r>
      <w:r>
        <w:t xml:space="preserve"> </w:t>
      </w:r>
      <w:r>
        <w:t xml:space="preserve">$recycling_credit_ef = -1.0; // kg CO2e/kg (illustrative credit for avoided virgin material)</w:t>
      </w:r>
      <w:r>
        <w:t xml:space="preserve"> </w:t>
      </w:r>
      <w:r>
        <w:t xml:space="preserve">$landfill_emissions = $weight_to_landfill_kg * $landfill_ef;</w:t>
      </w:r>
      <w:r>
        <w:t xml:space="preserve"> </w:t>
      </w:r>
      <w:r>
        <w:t xml:space="preserve">$recycling_credits = $weight_to_recycling_kg * $recycling_credit_ef;</w:t>
      </w:r>
      <w:r>
        <w:t xml:space="preserve"> </w:t>
      </w:r>
      <w:r>
        <w:t xml:space="preserve">$total_eol_emissions = $landfill_emissions + $recycling_credits;</w:t>
      </w:r>
      <w:r>
        <w:t xml:space="preserve"> </w:t>
      </w:r>
      <w:r>
        <w:t xml:space="preserve">echo "</w:t>
      </w:r>
    </w:p>
    <w:p>
      <w:pPr>
        <w:pStyle w:val="BodyText"/>
      </w:pPr>
      <w:r>
        <w:t xml:space="preserve">Recyclability Percentage: " . number_format($recyclability_percentage * 100, 2) . "%</w:t>
      </w:r>
    </w:p>
    <w:p>
      <w:pPr>
        <w:pStyle w:val="BodyText"/>
      </w:pPr>
      <w:r>
        <w:t xml:space="preserve">";</w:t>
      </w:r>
      <w:r>
        <w:t xml:space="preserve"> </w:t>
      </w:r>
      <w:r>
        <w:t xml:space="preserve">echo "</w:t>
      </w:r>
    </w:p>
    <w:p>
      <w:pPr>
        <w:pStyle w:val="BodyText"/>
      </w:pPr>
      <w:r>
        <w:t xml:space="preserve">Weight to Landfill: " . number_format($weight_to_landfill_kg, 2) . " kg (Emissions: " . number_format($landfill_emissions, 2) . " kg CO2e)</w:t>
      </w:r>
    </w:p>
    <w:p>
      <w:pPr>
        <w:pStyle w:val="BodyText"/>
      </w:pPr>
      <w:r>
        <w:t xml:space="preserve">";</w:t>
      </w:r>
      <w:r>
        <w:t xml:space="preserve"> </w:t>
      </w:r>
      <w:r>
        <w:t xml:space="preserve">echo "</w:t>
      </w:r>
    </w:p>
    <w:p>
      <w:pPr>
        <w:pStyle w:val="BodyText"/>
      </w:pPr>
      <w:r>
        <w:t xml:space="preserve">Weight to Recycling: " . number_format($weight_to_recycling_kg, 2) . " kg (Credits: " . number_format($recycling_credits, 2) . " kg CO2e)</w:t>
      </w:r>
    </w:p>
    <w:p>
      <w:pPr>
        <w:pStyle w:val="BodyText"/>
      </w:pPr>
      <w:r>
        <w:t xml:space="preserve">";</w:t>
      </w:r>
      <w:r>
        <w:t xml:space="preserve"> </w:t>
      </w:r>
      <w:r>
        <w:t xml:space="preserve">echo "</w:t>
      </w:r>
    </w:p>
    <w:p>
      <w:pPr>
        <w:pStyle w:val="BodyText"/>
      </w:pPr>
      <w:r>
        <w:t xml:space="preserve">Circular/Take-back Programs: fgjlvdwnxj</w:t>
      </w:r>
    </w:p>
    <w:p>
      <w:pPr>
        <w:pStyle w:val="BodyText"/>
      </w:pPr>
      <w:r>
        <w:t xml:space="preserve">";</w:t>
      </w:r>
      <w:r>
        <w:t xml:space="preserve"> </w:t>
      </w:r>
      <w:r>
        <w:t xml:space="preserve">echo "</w:t>
      </w:r>
    </w:p>
    <w:p>
      <w:pPr>
        <w:pStyle w:val="BodyText"/>
      </w:pPr>
      <w:r>
        <w:rPr>
          <w:bCs/>
          <w:b/>
        </w:rPr>
        <w:t xml:space="preserve">Total End-of-Life Emissions (Scope 3):</w:t>
      </w:r>
      <w:r>
        <w:t xml:space="preserve"> </w:t>
      </w:r>
      <w:r>
        <w:t xml:space="preserve">" . number_format($total_eol_emissions, 2) . " kg CO2e</w:t>
      </w:r>
    </w:p>
    <w:p>
      <w:pPr>
        <w:pStyle w:val="BodyText"/>
      </w:pPr>
      <w:r>
        <w:t xml:space="preserve">";</w:t>
      </w:r>
      <w:r>
        <w:t xml:space="preserve"> </w:t>
      </w:r>
      <w:r>
        <w:t xml:space="preserve">?&gt;</w:t>
      </w:r>
    </w:p>
    <w:bookmarkEnd w:id="40"/>
    <w:bookmarkEnd w:id="41"/>
    <w:bookmarkStart w:id="42" w:name="total-product-carbon-footprint"/>
    <w:p>
      <w:pPr>
        <w:pStyle w:val="Heading3"/>
      </w:pPr>
      <w:r>
        <w:t xml:space="preserve">3.3 Total Product Carbon Footprint</w:t>
      </w:r>
    </w:p>
    <w:p>
      <w:pPr>
        <w:pStyle w:val="FirstParagraph"/>
      </w:pPr>
      <w:r>
        <w:t xml:space="preserve">The sum of emissions across all lifecycle stages for one functional unit of tfqjmsijwy.</w:t>
      </w:r>
    </w:p>
    <w:p>
      <w:r>
        <w:pict>
          <v:rect style="width:0;height:1.5pt" o:hralign="center" o:hrstd="t" o:hr="t"/>
        </w:pict>
      </w:r>
    </w:p>
    <w:bookmarkEnd w:id="42"/>
    <w:bookmarkEnd w:id="43"/>
    <w:bookmarkStart w:id="49" w:name="review-reporting"/>
    <w:p>
      <w:pPr>
        <w:pStyle w:val="Heading2"/>
      </w:pPr>
      <w:r>
        <w:t xml:space="preserve">4. Review &amp; Reporting</w:t>
      </w:r>
    </w:p>
    <w:bookmarkStart w:id="44" w:name="hotspots-identification"/>
    <w:p>
      <w:pPr>
        <w:pStyle w:val="Heading3"/>
      </w:pPr>
      <w:r>
        <w:t xml:space="preserve">4.1 Hotspots Identification</w:t>
      </w:r>
    </w:p>
    <w:p>
      <w:pPr>
        <w:pStyle w:val="FirstParagraph"/>
      </w:pPr>
      <w:r>
        <w:t xml:space="preserve">Based on the calculations, the primary emission hotspots for tfqjmsijwy are:</w:t>
      </w:r>
    </w:p>
    <w:p>
      <w:pPr>
        <w:numPr>
          <w:ilvl w:val="0"/>
          <w:numId w:val="1006"/>
        </w:numPr>
        <w:pStyle w:val="Compact"/>
      </w:pPr>
      <w:r>
        <w:rPr>
          <w:bCs/>
          <w:b/>
        </w:rPr>
        <w:t xml:space="preserve">Materials Acquisition &amp; Processing (Upstream Scope 3):</w:t>
      </w:r>
      <w:r>
        <w:t xml:space="preserve"> </w:t>
      </w:r>
      <w:r>
        <w:t xml:space="preserve">The \'Total Carbon\' values provided in the BOM indicate that raw material production is a significant contributor. For example, \'Circuit Board\' and \'Aluminum Housing\' are identified as high-impact components.</w:t>
      </w:r>
    </w:p>
    <w:p>
      <w:pPr>
        <w:numPr>
          <w:ilvl w:val="0"/>
          <w:numId w:val="1006"/>
        </w:numPr>
        <w:pStyle w:val="Compact"/>
      </w:pPr>
      <w:r>
        <w:rPr>
          <w:bCs/>
          <w:b/>
        </w:rPr>
        <w:t xml:space="preserve">Manufacturing (Core Scope 2):</w:t>
      </w:r>
      <w:r>
        <w:t xml:space="preserve"> </w:t>
      </w:r>
      <w:r>
        <w:t xml:space="preserve">Energy consumption during production, despite renewable energy usage, still contributes notably due to the reliance on the Chinese grid mix for the non-renewable portion.</w:t>
      </w:r>
    </w:p>
    <w:p>
      <w:pPr>
        <w:numPr>
          <w:ilvl w:val="0"/>
          <w:numId w:val="1006"/>
        </w:numPr>
        <w:pStyle w:val="Compact"/>
      </w:pPr>
      <w:r>
        <w:rPr>
          <w:bCs/>
          <w:b/>
        </w:rPr>
        <w:t xml:space="preserve">Use Phase (Downstream Scope 3):</w:t>
      </w:r>
      <w:r>
        <w:t xml:space="preserve"> </w:t>
      </w:r>
      <w:r>
        <w:t xml:space="preserve">The energy consumed over the product\'s lifespan, even if relatively low per year, accumulates significantly over several years.</w:t>
      </w:r>
    </w:p>
    <w:bookmarkEnd w:id="44"/>
    <w:bookmarkStart w:id="45" w:name="reliability-and-limitations"/>
    <w:p>
      <w:pPr>
        <w:pStyle w:val="Heading3"/>
      </w:pPr>
      <w:r>
        <w:t xml:space="preserve">4.2 Reliability and Limitations</w:t>
      </w:r>
    </w:p>
    <w:p>
      <w:pPr>
        <w:pStyle w:val="FirstParagraph"/>
      </w:pPr>
      <w:r>
        <w:t xml:space="preserve">The reliability of this PCF analysis is high due to the utilization of specific primary data for the Bill of Materials and energy customization. However, certain limitations exist:</w:t>
      </w:r>
    </w:p>
    <w:p>
      <w:pPr>
        <w:numPr>
          <w:ilvl w:val="0"/>
          <w:numId w:val="1007"/>
        </w:numPr>
        <w:pStyle w:val="Compact"/>
      </w:pPr>
      <w:r>
        <w:rPr>
          <w:bCs/>
          <w:b/>
        </w:rPr>
        <w:t xml:space="preserve">Placeholder Data:</w:t>
      </w:r>
      <w:r>
        <w:t xml:space="preserve"> </w:t>
      </w:r>
      <w:r>
        <w:t xml:space="preserve">Several parameters (e.g., Transport Mode, Transport Distance, Renewable Energy Usage, Energy Intensity, Product Lifespan, Energy in Use, Recyclability Percentage) were provided as placeholder strings. Numerical assumptions were made to enable calculation, which may not perfectly reflect actual values.</w:t>
      </w:r>
    </w:p>
    <w:p>
      <w:pPr>
        <w:numPr>
          <w:ilvl w:val="0"/>
          <w:numId w:val="1007"/>
        </w:numPr>
        <w:pStyle w:val="Compact"/>
      </w:pPr>
      <w:r>
        <w:rPr>
          <w:bCs/>
          <w:b/>
        </w:rPr>
        <w:t xml:space="preserve">Generic Emission Factors:</w:t>
      </w:r>
      <w:r>
        <w:t xml:space="preserve"> </w:t>
      </w:r>
      <w:r>
        <w:t xml:space="preserve">While industry-standard emission factors were used for generic activities (e.g., electricity grids, transport modes, EoL processes), product-specific emission factors beyond the BOM would further enhance accuracy.</w:t>
      </w:r>
    </w:p>
    <w:p>
      <w:pPr>
        <w:numPr>
          <w:ilvl w:val="0"/>
          <w:numId w:val="1007"/>
        </w:numPr>
        <w:pStyle w:val="Compact"/>
      </w:pPr>
      <w:r>
        <w:rPr>
          <w:bCs/>
          <w:b/>
        </w:rPr>
        <w:t xml:space="preserve">LSR Standard Application:</w:t>
      </w:r>
      <w:r>
        <w:t xml:space="preserve"> </w:t>
      </w:r>
      <w:r>
        <w:t xml:space="preserve">The application of the 2026 LSR Standard is conceptual in this report due to the lack of explicit land-use change or specific biomass data in the provided parameters.</w:t>
      </w:r>
    </w:p>
    <w:p>
      <w:pPr>
        <w:numPr>
          <w:ilvl w:val="0"/>
          <w:numId w:val="1007"/>
        </w:numPr>
        <w:pStyle w:val="Compact"/>
      </w:pPr>
      <w:r>
        <w:rPr>
          <w:bCs/>
          <w:b/>
        </w:rPr>
        <w:t xml:space="preserve">Scope 1 Details:</w:t>
      </w:r>
      <w:r>
        <w:t xml:space="preserve"> </w:t>
      </w:r>
      <w:r>
        <w:t xml:space="preserve">Direct (Scope 1) emissions from the manufacturing facility were assumed negligible as no specific data on fuel combustion was provided.</w:t>
      </w:r>
    </w:p>
    <w:bookmarkEnd w:id="45"/>
    <w:bookmarkStart w:id="48" w:name="recommendations-for-improvement"/>
    <w:p>
      <w:pPr>
        <w:pStyle w:val="Heading3"/>
      </w:pPr>
      <w:r>
        <w:t xml:space="preserve">4.3 Recommendations for Improvement</w:t>
      </w:r>
    </w:p>
    <w:p>
      <w:pPr>
        <w:numPr>
          <w:ilvl w:val="0"/>
          <w:numId w:val="1008"/>
        </w:numPr>
        <w:pStyle w:val="Compact"/>
      </w:pPr>
      <w:r>
        <w:rPr>
          <w:bCs/>
          <w:b/>
        </w:rPr>
        <w:t xml:space="preserve">Data Refinement:</w:t>
      </w:r>
      <w:r>
        <w:t xml:space="preserve"> </w:t>
      </w:r>
      <w:r>
        <w:t xml:space="preserve">Obtain precise numerical values for all placeholder parameters to improve calculation accuracy.</w:t>
      </w:r>
    </w:p>
    <w:p>
      <w:pPr>
        <w:numPr>
          <w:ilvl w:val="0"/>
          <w:numId w:val="1008"/>
        </w:numPr>
        <w:pStyle w:val="Compact"/>
      </w:pPr>
      <w:r>
        <w:rPr>
          <w:bCs/>
          <w:b/>
        </w:rPr>
        <w:t xml:space="preserve">Supplier Engagement:</w:t>
      </w:r>
      <w:r>
        <w:t xml:space="preserve"> </w:t>
      </w:r>
      <w:r>
        <w:t xml:space="preserve">Collaborate with material suppliers to gather primary, product-specific emission factors for components beyond the provided \'Total Carbon\' values, especially for high-impact materials.</w:t>
      </w:r>
    </w:p>
    <w:p>
      <w:pPr>
        <w:numPr>
          <w:ilvl w:val="0"/>
          <w:numId w:val="1008"/>
        </w:numPr>
        <w:pStyle w:val="Compact"/>
      </w:pPr>
      <w:r>
        <w:rPr>
          <w:bCs/>
          <w:b/>
        </w:rPr>
        <w:t xml:space="preserve">Energy Efficiency:</w:t>
      </w:r>
      <w:r>
        <w:t xml:space="preserve"> </w:t>
      </w:r>
      <w:r>
        <w:t xml:space="preserve">Investigate opportunities for further increasing renewable energy procurement at the manufacturing facility and implementing energy efficiency measures.</w:t>
      </w:r>
    </w:p>
    <w:p>
      <w:pPr>
        <w:numPr>
          <w:ilvl w:val="0"/>
          <w:numId w:val="1008"/>
        </w:numPr>
        <w:pStyle w:val="Compact"/>
      </w:pPr>
      <w:r>
        <w:rPr>
          <w:bCs/>
          <w:b/>
        </w:rPr>
        <w:t xml:space="preserve">Logistics Optimization:</w:t>
      </w:r>
      <w:r>
        <w:t xml:space="preserve"> </w:t>
      </w:r>
      <w:r>
        <w:t xml:space="preserve">Explore more efficient transportation modes, optimized routes, or localized supply chains to reduce transport emissions.</w:t>
      </w:r>
    </w:p>
    <w:p>
      <w:pPr>
        <w:numPr>
          <w:ilvl w:val="0"/>
          <w:numId w:val="1008"/>
        </w:numPr>
        <w:pStyle w:val="Compact"/>
      </w:pPr>
      <w:r>
        <w:rPr>
          <w:bCs/>
          <w:b/>
        </w:rPr>
        <w:t xml:space="preserve">Design for Circularity:</w:t>
      </w:r>
      <w:r>
        <w:t xml:space="preserve"> </w:t>
      </w:r>
      <w:r>
        <w:t xml:space="preserve">Enhance product design for increased durability, repairability, and higher recyclability beyond the current gkxeziwkwg%, and expand circular/take-back programs.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tfqjmsijwy</dc:title>
  <dc:creator/>
  <dc:description>High-detail Product Carbon Footprint (PCF) analysis report for tfqjmsijwy by zfuzxtkuwf, adhering to GHG Protocol and 2026 LSR Update, performed by fxpgmudsyh.</dc:description>
  <dc:language>en</dc:language>
  <cp:keywords/>
  <dcterms:created xsi:type="dcterms:W3CDTF">2026-05-30T10:34:47Z</dcterms:created>
  <dcterms:modified xsi:type="dcterms:W3CDTF">2026-05-30T10:34:47Z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