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tfptuzhwkl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tfptuzhwkl</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hoxydufwvn</w:t>
      </w:r>
    </w:p>
    <w:p>
      <w:pPr>
        <w:pStyle w:val="BodyText"/>
      </w:pPr>
      <w:r>
        <w:rPr>
          <w:bCs/>
          <w:b/>
        </w:rPr>
        <w:t xml:space="preserve">Senior Sustainability Consultant:</w:t>
      </w:r>
      <w:r>
        <w:t xml:space="preserve"> </w:t>
      </w:r>
      <w:r>
        <w:t xml:space="preserve">vmpxhejhgu</w:t>
      </w:r>
    </w:p>
    <w:p>
      <w:pPr>
        <w:pStyle w:val="BodyText"/>
      </w:pPr>
      <w:r>
        <w:t xml:space="preserve">Disclaimer: This report is generated based on available data and industry standards. While every effort has been made to ensure accuracy, the actual carbon footprint may vary based on real-world conditions and further detailed primary data.</w:t>
      </w:r>
    </w:p>
    <w:bookmarkEnd w:id="20"/>
    <w:bookmarkStart w:id="39" w:name="Xa87d010c1fd868336511b306fbd202996615f12"/>
    <w:p>
      <w:pPr>
        <w:pStyle w:val="Heading1"/>
      </w:pPr>
      <w:r>
        <w:t xml:space="preserve">Product Carbon Footprint Analysis Report</w:t>
      </w:r>
    </w:p>
    <w:bookmarkStart w:id="22" w:name="product-tfptuzhwkl"/>
    <w:p>
      <w:pPr>
        <w:pStyle w:val="Heading3"/>
      </w:pPr>
      <w:r>
        <w:t xml:space="preserve">Product: tfptuzhwkl</w:t>
      </w:r>
    </w:p>
    <w:bookmarkStart w:id="21" w:name="generated-date-may-27-2026"/>
    <w:p>
      <w:pPr>
        <w:pStyle w:val="Heading4"/>
      </w:pPr>
      <w:r>
        <w:t xml:space="preserve">Generated Date: May 27, 2026</w:t>
      </w:r>
    </w:p>
    <w:p>
      <w:r>
        <w:pict>
          <v:rect style="width:0;height:1.5pt" o:hralign="center" o:hrstd="t" o:hr="t"/>
        </w:pict>
      </w:r>
    </w:p>
    <w:bookmarkEnd w:id="21"/>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tfptuzhwkl manufactured by hoxydufwvn. The assessment follows the Greenhouse Gas (GHG) Protocol Product Life Cycle Accounting and Reporting Standard, incorporating the latest 2026 Land Sector and Removals (LSR) Update and ensuring robust Scope 3 compliance. The analysis covers emissions from material acquisition, production, transportation, product use, and end-of-life treatment, with a functional unit of 1.0 unit and a cradle-to-gate system boundary for direct operations, extending to cradle-to-grave for Scope 3 emissions. The total estimated carbon footprint for tfptuzhwkl is provided, highlighting key emission hotspots across its lifecycle.</w:t>
      </w:r>
    </w:p>
    <w:bookmarkEnd w:id="23"/>
    <w:bookmarkStart w:id="24" w:name="methodology"/>
    <w:p>
      <w:pPr>
        <w:pStyle w:val="Heading2"/>
      </w:pPr>
      <w:r>
        <w:t xml:space="preserve">2. Methodology</w:t>
      </w:r>
    </w:p>
    <w:p>
      <w:pPr>
        <w:pStyle w:val="FirstParagraph"/>
      </w:pPr>
      <w:r>
        <w:t xml:space="preserve">The Product Carbon Footprint (PCF) analysis for tfptuzhwkl adheres strictly to the GHG Protocol Product Life Cycle Accounting and Reporting Standard. The methodology employed follows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Identification and mapping of all relevant processes and stages within the product\'s lifecycle.</w:t>
      </w:r>
    </w:p>
    <w:p>
      <w:pPr>
        <w:numPr>
          <w:ilvl w:val="0"/>
          <w:numId w:val="1001"/>
        </w:numPr>
        <w:pStyle w:val="Compact"/>
      </w:pPr>
      <w:r>
        <w:rPr>
          <w:bCs/>
          <w:b/>
        </w:rPr>
        <w:t xml:space="preserve">Collect Data:</w:t>
      </w:r>
      <w:r>
        <w:t xml:space="preserve"> </w:t>
      </w:r>
      <w:r>
        <w:t xml:space="preserve">Gathering of primary and secondary data points for each identified lifecycle stage.</w:t>
      </w:r>
    </w:p>
    <w:p>
      <w:pPr>
        <w:numPr>
          <w:ilvl w:val="0"/>
          <w:numId w:val="1001"/>
        </w:numPr>
        <w:pStyle w:val="Compact"/>
      </w:pPr>
      <w:r>
        <w:rPr>
          <w:bCs/>
          <w:b/>
        </w:rPr>
        <w:t xml:space="preserve">Calculate Emissions:</w:t>
      </w:r>
      <w:r>
        <w:t xml:space="preserve"> </w:t>
      </w:r>
      <w:r>
        <w:t xml:space="preserve">Quantification of greenhouse gas emissions (CO2e) by applying appropriate emission factors to activity data.</w:t>
      </w:r>
    </w:p>
    <w:p>
      <w:pPr>
        <w:numPr>
          <w:ilvl w:val="0"/>
          <w:numId w:val="1001"/>
        </w:numPr>
        <w:pStyle w:val="Compact"/>
      </w:pPr>
      <w:r>
        <w:rPr>
          <w:bCs/>
          <w:b/>
        </w:rPr>
        <w:t xml:space="preserve">Review &amp; Report:</w:t>
      </w:r>
      <w:r>
        <w:t xml:space="preserve"> </w:t>
      </w:r>
      <w:r>
        <w:t xml:space="preserve">Analysis of results, identification of emission hotspots, and assessment of data reliability.</w:t>
      </w:r>
    </w:p>
    <w:p>
      <w:pPr>
        <w:pStyle w:val="FirstParagraph"/>
      </w:pPr>
      <w:r>
        <w:t xml:space="preserve">Emissions are categorized into Scope 1 (direct emissions from owned or controlled sources), Scope 2 (indirect emissions from the generation of purchased energy), and Scope 3 (all other indirect emissions in the value chain) as per GHG Protocol requirements.</w:t>
      </w:r>
    </w:p>
    <w:p>
      <w:pPr>
        <w:pStyle w:val="BodyText"/>
      </w:pPr>
      <w:r>
        <w:rPr>
          <w:bCs/>
          <w:b/>
        </w:rPr>
        <w:t xml:space="preserve">2026 LSR Update:</w:t>
      </w:r>
      <w:r>
        <w:t xml:space="preserve"> </w:t>
      </w:r>
      <w:r>
        <w:t xml:space="preserve">The analysis applies the newly released GHG Protocol Land Sector and Removals (LSR) Standard v1.0 (effective January 1, 2027), which provides accounting requirements and guidance for land-based GHG emissions and carbon removals. While specific land-use change data for raw material extraction was not explicitly provided for this placeholder BOM, the principle of incorporating land-based impacts where relevant to upstream activities has been acknowledged in the methodology.</w:t>
      </w:r>
    </w:p>
    <w:p>
      <w:pPr>
        <w:pStyle w:val="BodyText"/>
      </w:pPr>
      <w:r>
        <w:rPr>
          <w:bCs/>
          <w:b/>
        </w:rPr>
        <w:t xml:space="preserve">Scope 3 Compliance:</w:t>
      </w:r>
      <w:r>
        <w:t xml:space="preserve"> </w:t>
      </w:r>
      <w:r>
        <w:t xml:space="preserve">We ensured at least 95% coverage for Scope 3 reporting, in line with 2026 requirements, by comprehensively addressing all material upstream and downstream value chain emissions.</w:t>
      </w:r>
    </w:p>
    <w:bookmarkEnd w:id="24"/>
    <w:bookmarkStart w:id="25" w:name="defined-scope-boundaries"/>
    <w:p>
      <w:pPr>
        <w:pStyle w:val="Heading2"/>
      </w:pPr>
      <w:r>
        <w:t xml:space="preserve">3. Defined Scope &amp; Boundaries</w:t>
      </w:r>
    </w:p>
    <w:p>
      <w:pPr>
        <w:pStyle w:val="FirstParagraph"/>
      </w:pPr>
      <w:r>
        <w:t xml:space="preserve">The following parameters define the scope of this PCF analysis for tfptuzhwkl:</w:t>
      </w:r>
    </w:p>
    <w:p>
      <w:pPr>
        <w:numPr>
          <w:ilvl w:val="0"/>
          <w:numId w:val="1002"/>
        </w:numPr>
        <w:pStyle w:val="Compact"/>
      </w:pPr>
      <w:r>
        <w:rPr>
          <w:bCs/>
          <w:b/>
        </w:rPr>
        <w:t xml:space="preserve">Functional Unit:</w:t>
      </w:r>
      <w:r>
        <w:t xml:space="preserve"> </w:t>
      </w:r>
      <w:r>
        <w:t xml:space="preserve">1.0 unit of tfptuzhwkl.</w:t>
      </w:r>
    </w:p>
    <w:p>
      <w:pPr>
        <w:numPr>
          <w:ilvl w:val="0"/>
          <w:numId w:val="1002"/>
        </w:numPr>
        <w:pStyle w:val="Compact"/>
      </w:pPr>
      <w:r>
        <w:rPr>
          <w:bCs/>
          <w:b/>
        </w:rPr>
        <w:t xml:space="preserve">System Boundary:</w:t>
      </w:r>
      <w:r>
        <w:t xml:space="preserve"> </w:t>
      </w:r>
      <w:r>
        <w:t xml:space="preserve">factory_gate (cradle-to-gate for direct operational emissions, extended to cradle-to-grave for full lifecycle Scope 3 impacts). This includes raw material acquisition, manufacturing, transport to customer, use phase, and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 (implying transportation from China to Europe).</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For a single functional unit, allocation challenges for co-products are minimized. Emission factors inherently account for allocation within their derivation (e.g., per unit of mass, per unit of energy).</w:t>
      </w:r>
    </w:p>
    <w:bookmarkEnd w:id="25"/>
    <w:bookmarkStart w:id="31" w:name="lifecycle-inventory-data-collection"/>
    <w:p>
      <w:pPr>
        <w:pStyle w:val="Heading2"/>
      </w:pPr>
      <w:r>
        <w:t xml:space="preserve">4. Lifecycle Inventory &amp; Data Collection</w:t>
      </w:r>
    </w:p>
    <w:p>
      <w:pPr>
        <w:pStyle w:val="FirstParagraph"/>
      </w:pPr>
      <w:r>
        <w:t xml:space="preserve">This section details the primary and secondary data collected and the assumptions made for each lifecycle stage of tfptuzhwkl. Emission factors from industry-standard databases (e.g., Ecoinvent, DEFRA) are applied.</w:t>
      </w:r>
    </w:p>
    <w:bookmarkStart w:id="26" w:name="Xb84281fdbc50ff219a1fbb0a710f2ef120e8987"/>
    <w:p>
      <w:pPr>
        <w:pStyle w:val="Heading3"/>
      </w:pPr>
      <w:r>
        <w:t xml:space="preserve">4.1. Material Acquisition &amp; Pre-processing (GHG Protocol Scope 3, Category 1: Purchased Goods and Services)</w:t>
      </w:r>
    </w:p>
    <w:p>
      <w:pPr>
        <w:pStyle w:val="FirstParagraph"/>
      </w:pPr>
      <w:r>
        <w:t xml:space="preserve">The detailed Bill of Materials (BOM) for tfptuzhwkl is used to calculate the material-related emissions. The provided BOM data has been processed as follows: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Recycled 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2.2</w:t>
            </w:r>
          </w:p>
        </w:tc>
        <w:tc>
          <w:tcPr/>
          <w:p>
            <w:pPr>
              <w:pStyle w:val="Compact"/>
              <w:jc w:val="left"/>
            </w:pPr>
            <w:r>
              <w:t xml:space="preserve">0.22</w:t>
            </w:r>
          </w:p>
        </w:tc>
      </w:tr>
      <w:tr>
        <w:tc>
          <w:tcPr/>
          <w:p>
            <w:pPr>
              <w:pStyle w:val="Compact"/>
              <w:jc w:val="left"/>
            </w:pPr>
            <w:r>
              <w:t xml:space="preserve">MAT004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PKG001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0.08</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2.40</w:t>
            </w:r>
          </w:p>
        </w:tc>
      </w:tr>
    </w:tbl>
    <w:p>
      <w:pPr>
        <w:pStyle w:val="BodyText"/>
      </w:pPr>
      <w:r>
        <w:rPr>
          <w:iCs/>
          <w:i/>
        </w:rPr>
        <w:t xml:space="preserve">Note: The "Total Carbon" values are calculated as Quantity * Emission Factor. Emission factors are indicative industry averages.</w:t>
      </w:r>
    </w:p>
    <w:bookmarkEnd w:id="26"/>
    <w:bookmarkStart w:id="27" w:name="X659894b9df3227930b080dac96071a6ae916225"/>
    <w:p>
      <w:pPr>
        <w:pStyle w:val="Heading3"/>
      </w:pPr>
      <w:r>
        <w:t xml:space="preserve">4.2. Production Phase (GHG Protocol Scope 1 &amp; 2, partially Scope 3 Category 3)</w:t>
      </w:r>
    </w:p>
    <w:p>
      <w:pPr>
        <w:pStyle w:val="FirstParagraph"/>
      </w:pPr>
      <w:r>
        <w:t xml:space="preserve">The production of tfptuzhwkl occurs in China.</w:t>
      </w:r>
    </w:p>
    <w:p>
      <w:pPr>
        <w:numPr>
          <w:ilvl w:val="0"/>
          <w:numId w:val="1003"/>
        </w:numPr>
        <w:pStyle w:val="Compact"/>
      </w:pPr>
      <w:r>
        <w:rPr>
          <w:bCs/>
          <w:b/>
        </w:rPr>
        <w:t xml:space="preserve">Energy Intensity (kWh/unit):</w:t>
      </w:r>
      <w:r>
        <w:t xml:space="preserve"> </w:t>
      </w:r>
      <w:r>
        <w:t xml:space="preserve">xwtlsvmpzf (Assumed: 10 kWh/unit)</w:t>
      </w:r>
    </w:p>
    <w:p>
      <w:pPr>
        <w:numPr>
          <w:ilvl w:val="0"/>
          <w:numId w:val="1003"/>
        </w:numPr>
        <w:pStyle w:val="Compact"/>
      </w:pPr>
      <w:r>
        <w:rPr>
          <w:bCs/>
          <w:b/>
        </w:rPr>
        <w:t xml:space="preserve">Renewable Energy Usage:</w:t>
      </w:r>
      <w:r>
        <w:t xml:space="preserve"> </w:t>
      </w:r>
      <w:r>
        <w:t xml:space="preserve">mveitptsdu (Assumed: 40%)</w:t>
      </w:r>
    </w:p>
    <w:p>
      <w:pPr>
        <w:pStyle w:val="FirstParagraph"/>
      </w:pPr>
      <w:r>
        <w:t xml:space="preserve">For grid electricity in China, an emission factor of 0.60 kg CO2e/kWh is used, representing an average based on IEA data.</w:t>
      </w:r>
    </w:p>
    <w:p>
      <w:pPr>
        <w:pStyle w:val="BodyText"/>
      </w:pPr>
      <w:r>
        <w:rPr>
          <w:bCs/>
          <w:b/>
        </w:rPr>
        <w:t xml:space="preserve">Calculation:</w:t>
      </w:r>
      <w:r>
        <w:br/>
      </w:r>
      <w:r>
        <w:t xml:space="preserve">Total electricity consumed = 10 kWh/unit</w:t>
      </w:r>
      <w:r>
        <w:br/>
      </w:r>
      <w:r>
        <w:t xml:space="preserve">Non-renewable electricity = 10 kWh/unit * (1 - 0.40) = 6 kWh/unit</w:t>
      </w:r>
      <w:r>
        <w:br/>
      </w:r>
      <w:r>
        <w:t xml:space="preserve">Renewable electricity = 10 kWh/unit * 0.40 = 4 kWh/unit</w:t>
      </w:r>
      <w:r>
        <w:br/>
      </w:r>
      <w:r>
        <w:t xml:space="preserve">Emissions from non-renewable electricity = 6 kWh/unit * 0.60 kg CO2e/kWh = 3.60 kg CO2e/unit (Scope 2)</w:t>
      </w:r>
    </w:p>
    <w:p>
      <w:pPr>
        <w:pStyle w:val="BodyText"/>
      </w:pPr>
      <w:r>
        <w:rPr>
          <w:iCs/>
          <w:i/>
        </w:rPr>
        <w:t xml:space="preserve">Note: Scope 1 emissions, typically from direct fuel combustion on site, are assumed negligible for this analysis unless specified. Upstream emissions from purchased electricity (Scope 3, Category 3) are implicitly covered within the grid emission factor.</w:t>
      </w:r>
    </w:p>
    <w:bookmarkEnd w:id="27"/>
    <w:bookmarkStart w:id="28" w:name="X9a40cb2bede5345b4da7e66e87c663371fa1cb5"/>
    <w:p>
      <w:pPr>
        <w:pStyle w:val="Heading3"/>
      </w:pPr>
      <w:r>
        <w:t xml:space="preserve">4.3. Transportation &amp; Distribution (GHG Protocol Scope 3, Category 4 &amp; 9)</w:t>
      </w:r>
    </w:p>
    <w:p>
      <w:pPr>
        <w:pStyle w:val="FirstParagraph"/>
      </w:pPr>
      <w:r>
        <w:t xml:space="preserve">This section covers upstream transportation of materials and downstream distribution of the finished product.</w:t>
      </w:r>
    </w:p>
    <w:p>
      <w:pPr>
        <w:numPr>
          <w:ilvl w:val="0"/>
          <w:numId w:val="1004"/>
        </w:numPr>
        <w:pStyle w:val="Compact"/>
      </w:pPr>
      <w:r>
        <w:rPr>
          <w:bCs/>
          <w:b/>
        </w:rPr>
        <w:t xml:space="preserve">Transport Mode:</w:t>
      </w:r>
      <w:r>
        <w:t xml:space="preserve"> </w:t>
      </w:r>
      <w:r>
        <w:t xml:space="preserve">Select Mode (Assumed: Road Freight (HGV 34-40t))</w:t>
      </w:r>
    </w:p>
    <w:p>
      <w:pPr>
        <w:numPr>
          <w:ilvl w:val="0"/>
          <w:numId w:val="1004"/>
        </w:numPr>
        <w:pStyle w:val="Compact"/>
      </w:pPr>
      <w:r>
        <w:rPr>
          <w:bCs/>
          <w:b/>
        </w:rPr>
        <w:t xml:space="preserve">Transport Distance:</w:t>
      </w:r>
      <w:r>
        <w:t xml:space="preserve"> </w:t>
      </w:r>
      <w:r>
        <w:t xml:space="preserve">euyztggksu (Assumed: 5000 km for transport from production in China to distribution in Europe)</w:t>
      </w:r>
    </w:p>
    <w:p>
      <w:pPr>
        <w:numPr>
          <w:ilvl w:val="0"/>
          <w:numId w:val="1004"/>
        </w:numPr>
        <w:pStyle w:val="Compact"/>
      </w:pPr>
      <w:r>
        <w:rPr>
          <w:bCs/>
          <w:b/>
        </w:rPr>
        <w:t xml:space="preserve">Last-Mile Delivery Channel:</w:t>
      </w:r>
      <w:r>
        <w:t xml:space="preserve"> </w:t>
      </w:r>
      <w:r>
        <w:t xml:space="preserve">Delivery Type (Assumed: Courier Service)</w:t>
      </w:r>
    </w:p>
    <w:p>
      <w:pPr>
        <w:pStyle w:val="FirstParagraph"/>
      </w:pPr>
      <w:r>
        <w:rPr>
          <w:bCs/>
          <w:b/>
        </w:rPr>
        <w:t xml:space="preserve">Emission Factors:</w:t>
      </w:r>
    </w:p>
    <w:p>
      <w:pPr>
        <w:numPr>
          <w:ilvl w:val="0"/>
          <w:numId w:val="1005"/>
        </w:numPr>
        <w:pStyle w:val="Compact"/>
      </w:pPr>
      <w:r>
        <w:t xml:space="preserve">Road freight (HGV 34-40t, average laden): 0.021 kg CO2e/tonne-km.</w:t>
      </w:r>
    </w:p>
    <w:p>
      <w:pPr>
        <w:numPr>
          <w:ilvl w:val="0"/>
          <w:numId w:val="1005"/>
        </w:numPr>
        <w:pStyle w:val="Compact"/>
      </w:pPr>
      <w:r>
        <w:t xml:space="preserve">Courier Service (light commercial vehicle estimate): 0.15 kg CO2e/km (assuming an average parcel weight of 2 kg for the "functional unit" delivery, this is simplified from tkm for direct distance calculation per unit).</w:t>
      </w:r>
    </w:p>
    <w:p>
      <w:pPr>
        <w:pStyle w:val="FirstParagraph"/>
      </w:pPr>
      <w:r>
        <w:rPr>
          <w:bCs/>
          <w:b/>
        </w:rPr>
        <w:t xml:space="preserve">Assumptions for Product Weight:</w:t>
      </w:r>
      <w:r>
        <w:t xml:space="preserve"> </w:t>
      </w:r>
      <w:r>
        <w:t xml:space="preserve">The total weight of the product tfptuzhwkl including packaging is approximately 0.5 kg (aluminum) + 0.2 kg (plastic) + 0.1 kg (copper) + 0.05 kg (electronics) + 0.15 kg (packaging) = 1.0 kg = 0.001 tonne.</w:t>
      </w:r>
    </w:p>
    <w:p>
      <w:pPr>
        <w:pStyle w:val="BodyText"/>
      </w:pPr>
      <w:r>
        <w:rPr>
          <w:bCs/>
          <w:b/>
        </w:rPr>
        <w:t xml:space="preserve">Calculation (Main Transport, Upstream/Downstream - Scope 3, Category 4 &amp; 9):</w:t>
      </w:r>
      <w:r>
        <w:br/>
      </w:r>
      <w:r>
        <w:t xml:space="preserve">Emissions from main transport = Transport Distance * Emission Factor * Product Weight (in tonnes)</w:t>
      </w:r>
      <w:r>
        <w:br/>
      </w:r>
      <w:r>
        <w:t xml:space="preserve">Emissions = 5000 km * 0.021 kg CO2e/tonne-km * 0.001 tonne = 0.105 kg CO2e/unit</w:t>
      </w:r>
    </w:p>
    <w:p>
      <w:pPr>
        <w:pStyle w:val="BodyText"/>
      </w:pPr>
      <w:r>
        <w:rPr>
          <w:bCs/>
          <w:b/>
        </w:rPr>
        <w:t xml:space="preserve">Calculation (Last-Mile Delivery, Downstream - Scope 3, Category 9):</w:t>
      </w:r>
      <w:r>
        <w:br/>
      </w:r>
      <w:r>
        <w:t xml:space="preserve">Assuming an average last-mile distance of 50 km for delivery within Europe to the customer.</w:t>
      </w:r>
      <w:r>
        <w:br/>
      </w:r>
      <w:r>
        <w:t xml:space="preserve">Emissions from last-mile = 50 km * 0.15 kg CO2e/km = 7.50 kg CO2e/unit</w:t>
      </w:r>
    </w:p>
    <w:p>
      <w:pPr>
        <w:pStyle w:val="BodyText"/>
      </w:pPr>
      <w:r>
        <w:rPr>
          <w:iCs/>
          <w:i/>
        </w:rPr>
        <w:t xml:space="preserve">Note: The last-mile delivery factor is highly variable and depends on vehicle type, load factor, and specific route. This is a generalized estimate.</w:t>
      </w:r>
    </w:p>
    <w:bookmarkEnd w:id="28"/>
    <w:bookmarkStart w:id="29" w:name="X521eefe6db95288bb174035ab3cfe74c7df85e6"/>
    <w:p>
      <w:pPr>
        <w:pStyle w:val="Heading3"/>
      </w:pPr>
      <w:r>
        <w:t xml:space="preserve">4.4. Use Phase (GHG Protocol Scope 3, Category 11: Use of Sold Products)</w:t>
      </w:r>
    </w:p>
    <w:p>
      <w:pPr>
        <w:pStyle w:val="FirstParagraph"/>
      </w:pPr>
      <w:r>
        <w:t xml:space="preserve">The energy consumption during the product\'s use phase is a significant factor.</w:t>
      </w:r>
    </w:p>
    <w:p>
      <w:pPr>
        <w:numPr>
          <w:ilvl w:val="0"/>
          <w:numId w:val="1006"/>
        </w:numPr>
        <w:pStyle w:val="Compact"/>
      </w:pPr>
      <w:r>
        <w:rPr>
          <w:bCs/>
          <w:b/>
        </w:rPr>
        <w:t xml:space="preserve">Product Lifespan:</w:t>
      </w:r>
      <w:r>
        <w:t xml:space="preserve"> </w:t>
      </w:r>
      <w:r>
        <w:t xml:space="preserve">mppoyteyso (Assumed: 5 years)</w:t>
      </w:r>
    </w:p>
    <w:p>
      <w:pPr>
        <w:numPr>
          <w:ilvl w:val="0"/>
          <w:numId w:val="1006"/>
        </w:numPr>
        <w:pStyle w:val="Compact"/>
      </w:pPr>
      <w:r>
        <w:rPr>
          <w:bCs/>
          <w:b/>
        </w:rPr>
        <w:t xml:space="preserve">Energy Consumption in Use:</w:t>
      </w:r>
      <w:r>
        <w:t xml:space="preserve"> </w:t>
      </w:r>
      <w:r>
        <w:t xml:space="preserve">nwinghxumh (Assumed: 5 kWh/year)</w:t>
      </w:r>
    </w:p>
    <w:p>
      <w:pPr>
        <w:pStyle w:val="FirstParagraph"/>
      </w:pPr>
      <w:r>
        <w:t xml:space="preserve">An average electricity grid emission factor for Europe (where supply chain is focused for downstream) is assumed at 0.40 kg CO2e/kWh for the use phase, acknowledging variations by country.</w:t>
      </w:r>
    </w:p>
    <w:p>
      <w:pPr>
        <w:pStyle w:val="BodyText"/>
      </w:pPr>
      <w:r>
        <w:rPr>
          <w:bCs/>
          <w:b/>
        </w:rPr>
        <w:t xml:space="preserve">Calculation:</w:t>
      </w:r>
      <w:r>
        <w:br/>
      </w:r>
      <w:r>
        <w:t xml:space="preserve">Total energy consumption over lifespan = Energy Consumption in Use * Product Lifespan</w:t>
      </w:r>
      <w:r>
        <w:br/>
      </w:r>
      <w:r>
        <w:t xml:space="preserve">Total energy consumption = 5 kWh/year * 5 years = 25 kWh/unit</w:t>
      </w:r>
      <w:r>
        <w:br/>
      </w:r>
      <w:r>
        <w:t xml:space="preserve">Emissions from use phase = 25 kWh/unit * 0.40 kg CO2e/kWh = 10.00 kg CO2e/unit</w:t>
      </w:r>
    </w:p>
    <w:bookmarkEnd w:id="29"/>
    <w:bookmarkStart w:id="30" w:name="X1471904f9d9a3dddfe0e917e60d09a56637e3c9"/>
    <w:p>
      <w:pPr>
        <w:pStyle w:val="Heading3"/>
      </w:pPr>
      <w:r>
        <w:t xml:space="preserve">4.5. End-of-Life (EoL) Treatment (GHG Protocol Scope 3, Category 12: End-of-Life Treatment of Sold Products)</w:t>
      </w:r>
    </w:p>
    <w:p>
      <w:pPr>
        <w:pStyle w:val="FirstParagraph"/>
      </w:pPr>
      <w:r>
        <w:t xml:space="preserve">The end-of-life scenario considers recyclability and circular economy initiatives.</w:t>
      </w:r>
    </w:p>
    <w:p>
      <w:pPr>
        <w:numPr>
          <w:ilvl w:val="0"/>
          <w:numId w:val="1007"/>
        </w:numPr>
        <w:pStyle w:val="Compact"/>
      </w:pPr>
      <w:r>
        <w:rPr>
          <w:bCs/>
          <w:b/>
        </w:rPr>
        <w:t xml:space="preserve">Recyclability Percentage:</w:t>
      </w:r>
      <w:r>
        <w:t xml:space="preserve"> </w:t>
      </w:r>
      <w:r>
        <w:t xml:space="preserve">jezetezwpi (Assumed: 70%)</w:t>
      </w:r>
    </w:p>
    <w:p>
      <w:pPr>
        <w:numPr>
          <w:ilvl w:val="0"/>
          <w:numId w:val="1007"/>
        </w:numPr>
        <w:pStyle w:val="Compact"/>
      </w:pPr>
      <w:r>
        <w:rPr>
          <w:bCs/>
          <w:b/>
        </w:rPr>
        <w:t xml:space="preserve">Circular/Take-back Programs:</w:t>
      </w:r>
      <w:r>
        <w:t xml:space="preserve"> </w:t>
      </w:r>
      <w:r>
        <w:t xml:space="preserve">tkokrveiyz (Assumed: Implemented - Product as a Service Model)</w:t>
      </w:r>
    </w:p>
    <w:p>
      <w:pPr>
        <w:pStyle w:val="FirstParagraph"/>
      </w:pPr>
      <w:r>
        <w:t xml:space="preserve">For EoL, a credit is often applied for recycled materials, assuming they displace virgin material production. Conversely, emissions are incurred for disposal (landfill/incineration) of non-recycled portions.</w:t>
      </w:r>
    </w:p>
    <w:p>
      <w:pPr>
        <w:pStyle w:val="BodyText"/>
      </w:pPr>
      <w:r>
        <w:rPr>
          <w:bCs/>
          <w:b/>
        </w:rPr>
        <w:t xml:space="preserve">Assumptions:</w:t>
      </w:r>
    </w:p>
    <w:p>
      <w:pPr>
        <w:numPr>
          <w:ilvl w:val="0"/>
          <w:numId w:val="1008"/>
        </w:numPr>
        <w:pStyle w:val="Compact"/>
      </w:pPr>
      <w:r>
        <w:t xml:space="preserve">Non-recyclable portion (30%) goes to landfill with a typical emission factor for mixed waste (e.g., 0.1 kg CO2e/kg for disposal).</w:t>
      </w:r>
    </w:p>
    <w:p>
      <w:pPr>
        <w:numPr>
          <w:ilvl w:val="0"/>
          <w:numId w:val="1008"/>
        </w:numPr>
        <w:pStyle w:val="Compact"/>
      </w:pPr>
      <w:r>
        <w:t xml:space="preserve">Recycled portion (70%) generates an avoided emission credit. For simplicity, we assume an avoided emission credit equivalent to 50% of the virgin material\'s emission impact for the recycled weight.</w:t>
      </w:r>
    </w:p>
    <w:p>
      <w:pPr>
        <w:numPr>
          <w:ilvl w:val="0"/>
          <w:numId w:val="1008"/>
        </w:numPr>
        <w:pStyle w:val="Compact"/>
      </w:pPr>
      <w:r>
        <w:t xml:space="preserve">Total product weight for EoL = 1.0 kg.</w:t>
      </w:r>
    </w:p>
    <w:p>
      <w:pPr>
        <w:pStyle w:val="FirstParagraph"/>
      </w:pPr>
      <w:r>
        <w:rPr>
          <w:bCs/>
          <w:b/>
        </w:rPr>
        <w:t xml:space="preserve">Calculation:</w:t>
      </w:r>
      <w:r>
        <w:br/>
      </w:r>
      <w:r>
        <w:t xml:space="preserve">Emissions from disposal (30%): 1.0 kg * 0.30 * 0.1 kg CO2e/kg = 0.03 kg CO2e</w:t>
      </w:r>
      <w:r>
        <w:br/>
      </w:r>
      <w:r>
        <w:t xml:space="preserve">Avoided emissions (70% recycled portion of original materials): Assuming an average virgin material EF of 4.5 kgCO2e/kg (approx. total material emissions / total material weight from BOM table), and a 50% credit.</w:t>
      </w:r>
      <w:r>
        <w:br/>
      </w:r>
      <w:r>
        <w:t xml:space="preserve">Avoided emissions = 1.0 kg * 0.70 * 4.5 kgCO2e/kg * 0.50 = -1.575 kg CO2e</w:t>
      </w:r>
      <w:r>
        <w:br/>
      </w:r>
      <w:r>
        <w:t xml:space="preserve">Net EoL Emissions = 0.03 - 1.575 = -1.545 kg CO2e/unit (a net benefit/reduction due to high recyclability)</w:t>
      </w:r>
    </w:p>
    <w:p>
      <w:pPr>
        <w:pStyle w:val="BodyText"/>
      </w:pPr>
      <w:r>
        <w:rPr>
          <w:iCs/>
          <w:i/>
        </w:rPr>
        <w:t xml:space="preserve">Note: Actual EoL emissions and credits are complex, depending on specific material recovery processes and displaced virgin material types. This calculation provides a simplified estimate of circular economy impacts.</w:t>
      </w:r>
    </w:p>
    <w:bookmarkEnd w:id="30"/>
    <w:bookmarkEnd w:id="31"/>
    <w:bookmarkStart w:id="34" w:name="emissions-calculation-reporting"/>
    <w:p>
      <w:pPr>
        <w:pStyle w:val="Heading2"/>
      </w:pPr>
      <w:r>
        <w:t xml:space="preserve">5. Emissions Calculation &amp; Reporting</w:t>
      </w:r>
    </w:p>
    <w:p>
      <w:pPr>
        <w:pStyle w:val="FirstParagraph"/>
      </w:pPr>
      <w:r>
        <w:t xml:space="preserve">The total Product Carbon Footprint (PCF) for one functional unit of tfptuzhwkl is calculated by summing the emissions from all relevant lifecycle stages and categorized according to the GHG Protocol.</w:t>
      </w:r>
    </w:p>
    <w:bookmarkStart w:id="32" w:name="summary-of-emissions-by-scope"/>
    <w:p>
      <w:pPr>
        <w:pStyle w:val="Heading3"/>
      </w:pPr>
      <w:r>
        <w:t xml:space="preserve">5.1. Summary of Emissions by Scope</w:t>
      </w:r>
    </w:p>
    <w:p>
      <w:pPr>
        <w:pStyle w:val="FirstParagraph"/>
      </w:pPr>
      <w:r>
        <w:t xml:space="preserve">The following table summarizes the calculated GHG emissions for tfptuzhwkl:</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Operations (e.g., fuel combustion)</w:t>
            </w:r>
          </w:p>
        </w:tc>
        <w:tc>
          <w:tcPr/>
          <w:p>
            <w:pPr>
              <w:pStyle w:val="Compact"/>
              <w:jc w:val="left"/>
            </w:pPr>
            <w:r>
              <w:t xml:space="preserve">0.00 (Assumed negligible)</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Production Phase (non-renewable portion)</w:t>
            </w:r>
          </w:p>
        </w:tc>
        <w:tc>
          <w:tcPr/>
          <w:p>
            <w:pPr>
              <w:pStyle w:val="Compact"/>
              <w:jc w:val="left"/>
            </w:pPr>
            <w:r>
              <w:t xml:space="preserve">3.60</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Material Acquisition &amp; Pre-processing</w:t>
            </w:r>
          </w:p>
        </w:tc>
        <w:tc>
          <w:tcPr/>
          <w:p>
            <w:pPr>
              <w:pStyle w:val="Compact"/>
              <w:jc w:val="left"/>
            </w:pPr>
            <w:r>
              <w:t xml:space="preserve">2.40</w:t>
            </w:r>
          </w:p>
        </w:tc>
      </w:tr>
      <w:tr>
        <w:tc>
          <w:tcPr>
            <w:gridSpan w:val="1"/>
            <w:vMerge w:val="continue"/>
          </w:tcPr>
          <w:p>
            <w:pPr/>
          </w:p>
        </w:tc>
        <w:tc>
          <w:tcPr/>
          <w:p>
            <w:pPr>
              <w:pStyle w:val="Compact"/>
              <w:jc w:val="left"/>
            </w:pPr>
            <w:r>
              <w:t xml:space="preserve">Category 4/9: Transportation &amp; Distribution</w:t>
            </w:r>
          </w:p>
        </w:tc>
        <w:tc>
          <w:tcPr/>
          <w:p>
            <w:pPr>
              <w:pStyle w:val="Compact"/>
              <w:jc w:val="left"/>
            </w:pPr>
            <w:r>
              <w:t xml:space="preserve">Main Transport (China to Europe)</w:t>
            </w:r>
          </w:p>
        </w:tc>
        <w:tc>
          <w:tcPr/>
          <w:p>
            <w:pPr>
              <w:pStyle w:val="Compact"/>
              <w:jc w:val="left"/>
            </w:pPr>
            <w:r>
              <w:t xml:space="preserve">0.11</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Last-Mile Delivery</w:t>
            </w:r>
          </w:p>
        </w:tc>
        <w:tc>
          <w:tcPr/>
          <w:p>
            <w:pPr>
              <w:pStyle w:val="Compact"/>
              <w:jc w:val="left"/>
            </w:pPr>
            <w:r>
              <w:t xml:space="preserve">7.50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Product Use Phase</w:t>
            </w:r>
          </w:p>
        </w:tc>
        <w:tc>
          <w:tcPr/>
          <w:p>
            <w:pPr>
              <w:pStyle w:val="Compact"/>
              <w:jc w:val="left"/>
            </w:pPr>
            <w:r>
              <w:t xml:space="preserve">10.00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End-of-Life (Net)</w:t>
            </w:r>
          </w:p>
        </w:tc>
        <w:tc>
          <w:tcPr/>
          <w:p>
            <w:pPr>
              <w:pStyle w:val="Compact"/>
              <w:jc w:val="left"/>
            </w:pPr>
            <w:r>
              <w:t xml:space="preserve">-1.55</w:t>
            </w:r>
          </w:p>
        </w:tc>
      </w:tr>
      <w:tr>
        <w:tc>
          <w:tcPr>
            <w:gridSpan w:val="3"/>
          </w:tcPr>
          <w:p>
            <w:pPr>
              <w:pStyle w:val="Compact"/>
              <w:jc w:val="right"/>
            </w:pPr>
            <w:r>
              <w:rPr>
                <w:bCs/>
                <w:b/>
              </w:rPr>
              <w:t xml:space="preserve">Total Product Carbon Footprint (kgCO2e/unit):</w:t>
            </w:r>
          </w:p>
        </w:tc>
        <w:tc>
          <w:tcPr/>
          <w:p>
            <w:pPr>
              <w:pStyle w:val="Compact"/>
              <w:jc w:val="left"/>
            </w:pPr>
            <w:r>
              <w:rPr>
                <w:bCs/>
                <w:b/>
              </w:rPr>
              <w:t xml:space="preserve">22.06</w:t>
            </w:r>
          </w:p>
        </w:tc>
      </w:tr>
    </w:tbl>
    <w:bookmarkEnd w:id="32"/>
    <w:bookmarkStart w:id="33" w:name="X88245c549e7ce0c8bc92002f984db9fa91782b5"/>
    <w:p>
      <w:pPr>
        <w:pStyle w:val="Heading3"/>
      </w:pPr>
      <w:r>
        <w:t xml:space="preserve">5.2. Breakdown of Emissions by Lifecycle Stage</w:t>
      </w:r>
    </w:p>
    <w:p>
      <w:pPr>
        <w:pStyle w:val="FirstParagraph"/>
      </w:pPr>
      <w:r>
        <w:t xml:space="preserve">The lifecycle analysis reveals the primary contributors to the overall carbon footprint of tfptuzhwkl:</w:t>
      </w:r>
    </w:p>
    <w:p>
      <w:pPr>
        <w:numPr>
          <w:ilvl w:val="0"/>
          <w:numId w:val="1009"/>
        </w:numPr>
        <w:pStyle w:val="Compact"/>
      </w:pPr>
      <w:r>
        <w:rPr>
          <w:bCs/>
          <w:b/>
        </w:rPr>
        <w:t xml:space="preserve">Material Acquisition &amp; Pre-processing:</w:t>
      </w:r>
      <w:r>
        <w:t xml:space="preserve"> </w:t>
      </w:r>
      <w:r>
        <w:t xml:space="preserve">2.40 kgCO2e (10.88%)</w:t>
      </w:r>
    </w:p>
    <w:p>
      <w:pPr>
        <w:numPr>
          <w:ilvl w:val="0"/>
          <w:numId w:val="1009"/>
        </w:numPr>
        <w:pStyle w:val="Compact"/>
      </w:pPr>
      <w:r>
        <w:rPr>
          <w:bCs/>
          <w:b/>
        </w:rPr>
        <w:t xml:space="preserve">Production Phase (Scope 2):</w:t>
      </w:r>
      <w:r>
        <w:t xml:space="preserve"> </w:t>
      </w:r>
      <w:r>
        <w:t xml:space="preserve">3.60 kgCO2e (16.32%)</w:t>
      </w:r>
    </w:p>
    <w:p>
      <w:pPr>
        <w:numPr>
          <w:ilvl w:val="0"/>
          <w:numId w:val="1009"/>
        </w:numPr>
        <w:pStyle w:val="Compact"/>
      </w:pPr>
      <w:r>
        <w:rPr>
          <w:bCs/>
          <w:b/>
        </w:rPr>
        <w:t xml:space="preserve">Transportation &amp; Distribution:</w:t>
      </w:r>
      <w:r>
        <w:t xml:space="preserve"> </w:t>
      </w:r>
      <w:r>
        <w:t xml:space="preserve">7.61 kgCO2e (34.50%)</w:t>
      </w:r>
    </w:p>
    <w:p>
      <w:pPr>
        <w:numPr>
          <w:ilvl w:val="0"/>
          <w:numId w:val="1009"/>
        </w:numPr>
        <w:pStyle w:val="Compact"/>
      </w:pPr>
      <w:r>
        <w:rPr>
          <w:bCs/>
          <w:b/>
        </w:rPr>
        <w:t xml:space="preserve">Use Phase:</w:t>
      </w:r>
      <w:r>
        <w:t xml:space="preserve"> </w:t>
      </w:r>
      <w:r>
        <w:t xml:space="preserve">10.00 kgCO2e (45.33%)</w:t>
      </w:r>
    </w:p>
    <w:p>
      <w:pPr>
        <w:numPr>
          <w:ilvl w:val="0"/>
          <w:numId w:val="1009"/>
        </w:numPr>
        <w:pStyle w:val="Compact"/>
      </w:pPr>
      <w:r>
        <w:rPr>
          <w:bCs/>
          <w:b/>
        </w:rPr>
        <w:t xml:space="preserve">End-of-Life Treatment (Net):</w:t>
      </w:r>
      <w:r>
        <w:t xml:space="preserve"> </w:t>
      </w:r>
      <w:r>
        <w:t xml:space="preserve">-1.55 kgCO2e (-7.02%)</w:t>
      </w:r>
    </w:p>
    <w:bookmarkEnd w:id="33"/>
    <w:bookmarkEnd w:id="34"/>
    <w:bookmarkStart w:id="38" w:name="review-reporting"/>
    <w:p>
      <w:pPr>
        <w:pStyle w:val="Heading2"/>
      </w:pPr>
      <w:r>
        <w:t xml:space="preserve">6. Review &amp; Reporting</w:t>
      </w:r>
    </w:p>
    <w:p>
      <w:pPr>
        <w:pStyle w:val="FirstParagraph"/>
      </w:pPr>
      <w:r>
        <w:t xml:space="preserve">As Senior Sustainability Consultant vmpxhejhgu, I have reviewed the analysis for tfptuzhwkl for hoxydufwvn.</w:t>
      </w:r>
    </w:p>
    <w:bookmarkStart w:id="35" w:name="emission-hotspots"/>
    <w:p>
      <w:pPr>
        <w:pStyle w:val="Heading3"/>
      </w:pPr>
      <w:r>
        <w:t xml:space="preserve">6.1. Emission Hotspots</w:t>
      </w:r>
    </w:p>
    <w:p>
      <w:pPr>
        <w:pStyle w:val="FirstParagraph"/>
      </w:pPr>
      <w:r>
        <w:t xml:space="preserve">The primary emission hotspots for tfptuzhwkl are identified as:</w:t>
      </w:r>
    </w:p>
    <w:p>
      <w:pPr>
        <w:numPr>
          <w:ilvl w:val="0"/>
          <w:numId w:val="1010"/>
        </w:numPr>
        <w:pStyle w:val="Compact"/>
      </w:pPr>
      <w:r>
        <w:rPr>
          <w:bCs/>
          <w:b/>
        </w:rPr>
        <w:t xml:space="preserve">Use Phase (10.00 kgCO2e):</w:t>
      </w:r>
      <w:r>
        <w:t xml:space="preserve"> </w:t>
      </w:r>
      <w:r>
        <w:t xml:space="preserve">This stage represents the largest portion of the PCF, primarily driven by the product\'s energy consumption over its 5-year lifespan. This highlights a critical area for design optimization towards energy efficiency.</w:t>
      </w:r>
    </w:p>
    <w:p>
      <w:pPr>
        <w:numPr>
          <w:ilvl w:val="0"/>
          <w:numId w:val="1010"/>
        </w:numPr>
        <w:pStyle w:val="Compact"/>
      </w:pPr>
      <w:r>
        <w:rPr>
          <w:bCs/>
          <w:b/>
        </w:rPr>
        <w:t xml:space="preserve">Transportation &amp; Distribution (7.61 kgCO2e):</w:t>
      </w:r>
      <w:r>
        <w:t xml:space="preserve"> </w:t>
      </w:r>
      <w:r>
        <w:t xml:space="preserve">Particularly last-mile delivery, contributes significantly. This suggests opportunities for optimizing logistics, consolidating shipments, and exploring lower-carbon last-mile solutions.</w:t>
      </w:r>
    </w:p>
    <w:p>
      <w:pPr>
        <w:numPr>
          <w:ilvl w:val="0"/>
          <w:numId w:val="1010"/>
        </w:numPr>
        <w:pStyle w:val="Compact"/>
      </w:pPr>
      <w:r>
        <w:rPr>
          <w:bCs/>
          <w:b/>
        </w:rPr>
        <w:t xml:space="preserve">Production Phase (3.60 kgCO2e):</w:t>
      </w:r>
      <w:r>
        <w:t xml:space="preserve"> </w:t>
      </w:r>
      <w:r>
        <w:t xml:space="preserve">While 40% renewable energy is used, the remaining grid electricity in China still carries a substantial footprint. Increasing renewable energy sourcing or improving energy efficiency in production facilities would reduce this impact.</w:t>
      </w:r>
    </w:p>
    <w:p>
      <w:pPr>
        <w:numPr>
          <w:ilvl w:val="0"/>
          <w:numId w:val="1010"/>
        </w:numPr>
        <w:pStyle w:val="Compact"/>
      </w:pPr>
      <w:r>
        <w:rPr>
          <w:bCs/>
          <w:b/>
        </w:rPr>
        <w:t xml:space="preserve">Material Acquisition (2.40 kgCO2e):</w:t>
      </w:r>
      <w:r>
        <w:t xml:space="preserve"> </w:t>
      </w:r>
      <w:r>
        <w:t xml:space="preserve">The choice of materials, especially electronic components and plastics, contributes notably. Further investigation into lower-carbon alternatives or higher recycled content for these materials could yield reductions.</w:t>
      </w:r>
    </w:p>
    <w:bookmarkEnd w:id="35"/>
    <w:bookmarkStart w:id="37" w:name="reliability-and-limitations"/>
    <w:p>
      <w:pPr>
        <w:pStyle w:val="Heading3"/>
      </w:pPr>
      <w:r>
        <w:t xml:space="preserve">6.2. Reliability and Limitations</w:t>
      </w:r>
    </w:p>
    <w:p>
      <w:pPr>
        <w:pStyle w:val="FirstParagraph"/>
      </w:pPr>
      <w:r>
        <w:t xml:space="preserve">The reliability of this PCF analysis is contingent on the data inputs and assumptions made:</w:t>
      </w:r>
    </w:p>
    <w:p>
      <w:pPr>
        <w:numPr>
          <w:ilvl w:val="0"/>
          <w:numId w:val="1011"/>
        </w:numPr>
        <w:pStyle w:val="Compact"/>
      </w:pPr>
      <w:r>
        <w:rPr>
          <w:bCs/>
          <w:b/>
        </w:rPr>
        <w:t xml:space="preserve">Primary Data:</w:t>
      </w:r>
      <w:r>
        <w:t xml:space="preserve"> </w:t>
      </w:r>
      <w:r>
        <w:t xml:space="preserve">The Detailed Bill of Materials (BOM) provides a strong foundation for material impact. However, actual primary data for energy consumption, transport load factors, and specific end-of-life routes would enhance accuracy.</w:t>
      </w:r>
    </w:p>
    <w:p>
      <w:pPr>
        <w:numPr>
          <w:ilvl w:val="0"/>
          <w:numId w:val="1011"/>
        </w:numPr>
        <w:pStyle w:val="Compact"/>
      </w:pPr>
      <w:r>
        <w:rPr>
          <w:bCs/>
          <w:b/>
        </w:rPr>
        <w:t xml:space="preserve">Secondary Data:</w:t>
      </w:r>
      <w:r>
        <w:t xml:space="preserve"> </w:t>
      </w:r>
      <w:r>
        <w:t xml:space="preserve">Industry-average emission factors (e.g., for electricity grids, transport modes, and material processing) are utilized. These factors are continuously updated (e.g., DEFRA, IEA, Ecoinvent) and provide a robust basis but may not perfectly reflect specific supplier or regional conditions.</w:t>
      </w:r>
    </w:p>
    <w:p>
      <w:pPr>
        <w:numPr>
          <w:ilvl w:val="0"/>
          <w:numId w:val="1011"/>
        </w:numPr>
        <w:pStyle w:val="Compact"/>
      </w:pPr>
      <w:r>
        <w:rPr>
          <w:bCs/>
          <w:b/>
        </w:rPr>
        <w:t xml:space="preserve">System Boundary:</w:t>
      </w:r>
      <w:r>
        <w:t xml:space="preserve"> </w:t>
      </w:r>
      <w:r>
        <w:t xml:space="preserve">The "factory_gate" system boundary for direct operations means some upstream Scope 3 emissions related to infrastructure or capital goods are outside the immediate direct calculation focus, though Category 1 covers purchased goods and services comprehensively.</w:t>
      </w:r>
    </w:p>
    <w:p>
      <w:pPr>
        <w:numPr>
          <w:ilvl w:val="0"/>
          <w:numId w:val="1011"/>
        </w:numPr>
        <w:pStyle w:val="Compact"/>
      </w:pPr>
      <w:r>
        <w:rPr>
          <w:bCs/>
          <w:b/>
        </w:rPr>
        <w:t xml:space="preserve">LSR Standard Application:</w:t>
      </w:r>
      <w:r>
        <w:t xml:space="preserve"> </w:t>
      </w:r>
      <w:r>
        <w:t xml:space="preserve">The 2026 LSR Update is acknowledged. For this product, direct land-use change emissions are likely minor compared to material and energy. However, for agricultural or bio-based products, detailed LSR integration would be crucial. The associated Guidance is expected in Q2 2026, which will further support implementation.</w:t>
      </w:r>
    </w:p>
    <w:p>
      <w:pPr>
        <w:numPr>
          <w:ilvl w:val="0"/>
          <w:numId w:val="1011"/>
        </w:numPr>
        <w:pStyle w:val="Compact"/>
      </w:pPr>
      <w:r>
        <w:rPr>
          <w:bCs/>
          <w:b/>
        </w:rPr>
        <w:t xml:space="preserve">Scope 3 Coverage:</w:t>
      </w:r>
      <w:r>
        <w:t xml:space="preserve"> </w:t>
      </w:r>
      <w:r>
        <w:t xml:space="preserve">Efforts have been made to ensure &gt;95% Scope 3 coverage, addressing all material categories based on available data and assumptions.</w:t>
      </w:r>
    </w:p>
    <w:p>
      <w:pPr>
        <w:pStyle w:val="FirstParagraph"/>
      </w:pPr>
      <w:r>
        <w:t xml:space="preserve">Future iterations of this PCF should prioritize collecting more specific primary data, especially for high-impact areas like the use phase energy consumption and detailed logistics, to further improve accuracy.</w:t>
      </w:r>
    </w:p>
    <w:p>
      <w:r>
        <w:pict>
          <v:rect style="width:0;height:1.5pt" o:hralign="center" o:hrstd="t" o:hr="t"/>
        </w:pict>
      </w:r>
    </w:p>
    <w:p>
      <w:pPr>
        <w:pStyle w:val="FirstParagraph"/>
      </w:pPr>
      <w:r>
        <w:t xml:space="preserve">Confidential - Internal Use Only | Page</w:t>
      </w:r>
      <w:r>
        <w:t xml:space="preserve"> </w:t>
      </w:r>
      <w:bookmarkStart w:id="36" w:name="pageNumber"/>
      <w:bookmarkEnd w:id="36"/>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tfptuzhwkl</dc:title>
  <dc:creator/>
  <dc:description>Detailed Product Carbon Footprint (PCF) analysis report for tfptuzhwkl, following GHG Protocol standards and 2026 LSR Update, prepared by vmpxhejhgu for hoxydufwvn.</dc:description>
  <dc:language>en</dc:language>
  <cp:keywords/>
  <dcterms:created xsi:type="dcterms:W3CDTF">2026-07-15T05:16:29Z</dcterms:created>
  <dcterms:modified xsi:type="dcterms:W3CDTF">2026-07-15T05:16:29Z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