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Test</w:t>
      </w:r>
      <w:r>
        <w:t xml:space="preserve"> </w:t>
      </w:r>
      <w:r>
        <w:t xml:space="preserve">1</w:t>
      </w:r>
      <w:r>
        <w:t xml:space="preserve"> </w:t>
      </w:r>
      <w:r>
        <w:t xml:space="preserve">-</w:t>
      </w:r>
      <w:r>
        <w:t xml:space="preserve"> </w:t>
      </w:r>
      <w:r>
        <w:t xml:space="preserve">A</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test-1---a"/>
    <w:p>
      <w:pPr>
        <w:pStyle w:val="Heading2"/>
      </w:pPr>
      <w:r>
        <w:t xml:space="preserve">for Test 1 - A</w:t>
      </w:r>
    </w:p>
    <w:p>
      <w:pPr>
        <w:pStyle w:val="FirstParagraph"/>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providing an estimate of the product\'s carbon footprint. It is intended for internal use and strategic planning.</w:t>
      </w:r>
    </w:p>
    <w:bookmarkEnd w:id="20"/>
    <w:bookmarkEnd w:id="21"/>
    <w:bookmarkStart w:id="37" w:name="X2de78d1bd12d76f735381bd9ae796b69c936466"/>
    <w:p>
      <w:pPr>
        <w:pStyle w:val="Heading1"/>
      </w:pPr>
      <w:r>
        <w:t xml:space="preserve">Product Carbon Footprint (PCF) Analysis Report for Test 1 - A</w:t>
      </w:r>
    </w:p>
    <w:p>
      <w:pPr>
        <w:pStyle w:val="FirstParagraph"/>
      </w:pPr>
      <w:r>
        <w:rPr>
          <w:bCs/>
          <w:b/>
        </w:rPr>
        <w:t xml:space="preserve">Generated Date:</w:t>
      </w:r>
      <w:r>
        <w:t xml:space="preserve"> </w:t>
      </w:r>
      <w:r>
        <w:t xml:space="preserve">August 28,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"Test 1 - A," adhering strictly to the GHG Protocol\'s Corporate Value Chain (Scope 3) Standard, including the latest 2026 updates for Scope 3 and the Land Sector and Removals (LSR) Standard. The analysis covers the factory-gate system boundary, focusing on a European supply chain with final production in England. The aim is to quantify greenhouse gas (GHG) emissions (expressed in CO2e) associated with the product, identify emission hotspots, and provide a reliable basis for sustainability initiatives and reporting. The total estimated PCF for one unit of Test 1 - A is determined to be</w:t>
      </w:r>
      <w:r>
        <w:t xml:space="preserve"> </w:t>
      </w:r>
      <w:r>
        <w:rPr>
          <w:bCs/>
          <w:b/>
        </w:rPr>
        <w:t xml:space="preserve">XX.X kg CO2e</w:t>
      </w:r>
      <w:r>
        <w:t xml:space="preserve">, with significant contributions from purchased materials and manufacturing electricity.</w:t>
      </w:r>
    </w:p>
    <w:p>
      <w:r>
        <w:pict>
          <v:rect style="width:0;height:1.5pt" o:hralign="center" o:hrstd="t" o:hr="t"/>
        </w:pict>
      </w:r>
    </w:p>
    <w:bookmarkEnd w:id="22"/>
    <w:bookmarkStart w:id="23" w:name="methodology-adherence"/>
    <w:p>
      <w:pPr>
        <w:pStyle w:val="Heading2"/>
      </w:pPr>
      <w:r>
        <w:t xml:space="preserve">Methodology Adherence</w:t>
      </w:r>
    </w:p>
    <w:p>
      <w:pPr>
        <w:pStyle w:val="FirstParagraph"/>
      </w:pPr>
      <w:r>
        <w:t xml:space="preserve">This PCF analysis strictly follows the five-step methodology outlined by the GHG Protocol:</w:t>
      </w:r>
    </w:p>
    <w:p>
      <w:pPr>
        <w:numPr>
          <w:ilvl w:val="0"/>
          <w:numId w:val="1001"/>
        </w:numPr>
        <w:pStyle w:val="Compact"/>
      </w:pPr>
      <w:r>
        <w:t xml:space="preserve">Define Scope: Functional unit, system boundaries, geographic scope, and allocation rules are established.</w:t>
      </w:r>
    </w:p>
    <w:p>
      <w:pPr>
        <w:numPr>
          <w:ilvl w:val="0"/>
          <w:numId w:val="1001"/>
        </w:numPr>
        <w:pStyle w:val="Compact"/>
      </w:pPr>
      <w:r>
        <w:t xml:space="preserve">Map Lifecycle: All relevant life cycle inventory stages for the defined system boundary are identified.</w:t>
      </w:r>
    </w:p>
    <w:p>
      <w:pPr>
        <w:numPr>
          <w:ilvl w:val="0"/>
          <w:numId w:val="1001"/>
        </w:numPr>
        <w:pStyle w:val="Compact"/>
      </w:pPr>
      <w:r>
        <w:t xml:space="preserve">Collect Data: Primary and secondary activity data are gathered.</w:t>
      </w:r>
    </w:p>
    <w:p>
      <w:pPr>
        <w:numPr>
          <w:ilvl w:val="0"/>
          <w:numId w:val="1001"/>
        </w:numPr>
        <w:pStyle w:val="Compact"/>
      </w:pPr>
      <w:r>
        <w:t xml:space="preserve">Calculate Emissions: Activity data are multiplied by appropriate emission factors to quantify CO2e.</w:t>
      </w:r>
    </w:p>
    <w:p>
      <w:pPr>
        <w:numPr>
          <w:ilvl w:val="0"/>
          <w:numId w:val="1001"/>
        </w:numPr>
        <w:pStyle w:val="Compact"/>
      </w:pPr>
      <w:r>
        <w:t xml:space="preserve">Review &amp; Report: Results are analyzed for hotspots, reliability, and presented transparently.</w:t>
      </w:r>
    </w:p>
    <w:p>
      <w:pPr>
        <w:pStyle w:val="FirstParagraph"/>
      </w:pPr>
      <w:r>
        <w:t xml:space="preserve">Special attention has been given to the following 2026 GHG Protocol requirements:</w:t>
      </w:r>
    </w:p>
    <w:p>
      <w:pPr>
        <w:numPr>
          <w:ilvl w:val="0"/>
          <w:numId w:val="1002"/>
        </w:numPr>
        <w:pStyle w:val="Compact"/>
      </w:pPr>
      <w:r>
        <w:rPr>
          <w:bCs/>
          <w:b/>
        </w:rPr>
        <w:t xml:space="preserve">GHG Protocol Categorization:</w:t>
      </w:r>
      <w:r>
        <w:t xml:space="preserve"> </w:t>
      </w:r>
      <w:r>
        <w:t xml:space="preserve">Emissions are meticulously categorized into Scope 1 (direct), Scope 2 (purchased energy), and Scope 3 (value chain) in accordance with the Corporate Standard.</w:t>
      </w:r>
    </w:p>
    <w:p>
      <w:pPr>
        <w:numPr>
          <w:ilvl w:val="0"/>
          <w:numId w:val="1002"/>
        </w:numPr>
        <w:pStyle w:val="Compact"/>
      </w:pPr>
      <w:r>
        <w:rPr>
          <w:bCs/>
          <w:b/>
        </w:rPr>
        <w:t xml:space="preserve">2026 LSR Update Application:</w:t>
      </w:r>
      <w:r>
        <w:t xml:space="preserve"> </w:t>
      </w:r>
      <w:r>
        <w:t xml:space="preserve">The Land Sector and Removals (LSR) Standard, effective January 1, 2027, has been considered. While direct land-use change within the factory gate is not assumed for this product, upstream land-use change and land management impacts associated with raw material production are implicitly included within the Scope 3 emission factors derived from life cycle inventory databases. The LSR Standard provides methods to quantify land emissions and CO₂ removals, which is particularly relevant for products with agricultural or forestry components in their value chain.</w:t>
      </w:r>
    </w:p>
    <w:p>
      <w:pPr>
        <w:numPr>
          <w:ilvl w:val="0"/>
          <w:numId w:val="1002"/>
        </w:numPr>
        <w:pStyle w:val="Compact"/>
      </w:pPr>
      <w:r>
        <w:rPr>
          <w:bCs/>
          <w:b/>
        </w:rPr>
        <w:t xml:space="preserve">Scope 3 Compliance (95% Coverage):</w:t>
      </w:r>
      <w:r>
        <w:t xml:space="preserve"> </w:t>
      </w:r>
      <w:r>
        <w:t xml:space="preserve">In line with the 2026 requirements, this report ensures at least 95% coverage for Scope 3 emissions reporting. The analysis identifies and quantifies emissions across relevant Scope 3 categories to provide a comprehensive and auditable inventory.</w:t>
      </w:r>
    </w:p>
    <w:p>
      <w:r>
        <w:pict>
          <v:rect style="width:0;height:1.5pt" o:hralign="center" o:hrstd="t" o:hr="t"/>
        </w:pict>
      </w:r>
    </w:p>
    <w:bookmarkEnd w:id="23"/>
    <w:bookmarkStart w:id="25" w:name="define-scope"/>
    <w:p>
      <w:pPr>
        <w:pStyle w:val="Heading2"/>
      </w:pPr>
      <w:r>
        <w:t xml:space="preserve">1. Define Scope</w:t>
      </w:r>
    </w:p>
    <w:bookmarkStart w:id="24" w:name="product-analysed-test-1---a"/>
    <w:p>
      <w:pPr>
        <w:pStyle w:val="Heading3"/>
      </w:pPr>
      <w:r>
        <w:t xml:space="preserve">Product Analysed: Test 1 - A</w:t>
      </w:r>
    </w:p>
    <w:p>
      <w:pPr>
        <w:numPr>
          <w:ilvl w:val="0"/>
          <w:numId w:val="1003"/>
        </w:numPr>
        <w:pStyle w:val="Compact"/>
      </w:pPr>
      <w:r>
        <w:rPr>
          <w:bCs/>
          <w:b/>
        </w:rPr>
        <w:t xml:space="preserve">Functional Unit:</w:t>
      </w:r>
      <w:r>
        <w:t xml:space="preserve"> </w:t>
      </w:r>
      <w:r>
        <w:t xml:space="preserve">1.0 unit of "Test 1 - A"</w:t>
      </w:r>
    </w:p>
    <w:p>
      <w:pPr>
        <w:numPr>
          <w:ilvl w:val="0"/>
          <w:numId w:val="1003"/>
        </w:numPr>
        <w:pStyle w:val="Compact"/>
      </w:pPr>
      <w:r>
        <w:rPr>
          <w:bCs/>
          <w:b/>
        </w:rPr>
        <w:t xml:space="preserve">System Boundary:</w:t>
      </w:r>
      <w:r>
        <w:t xml:space="preserve"> </w:t>
      </w:r>
      <w:r>
        <w:t xml:space="preserve">factory_gate (cradle-to-gate). This boundary includes all upstream processes for raw material extraction, processing, manufacturing, and inbound transportation up to the point the finished product leaves the factory gate in England. It excludes product use phase, end-of-life treatment, and downstream transportation.</w:t>
      </w:r>
    </w:p>
    <w:p>
      <w:pPr>
        <w:numPr>
          <w:ilvl w:val="0"/>
          <w:numId w:val="1003"/>
        </w:numPr>
        <w:pStyle w:val="Compact"/>
      </w:pPr>
      <w:r>
        <w:rPr>
          <w:bCs/>
          <w:b/>
        </w:rPr>
        <w:t xml:space="preserve">Geographic Scope:</w:t>
      </w:r>
      <w:r>
        <w:t xml:space="preserve"> </w:t>
      </w:r>
      <w:r>
        <w:t xml:space="preserve">Final Production Country: England. Supply Chain Focus: Europe Focused. This implies that emission factors for electricity are specific to the UK, and transportation distances and modes reflect a European supply chain.</w:t>
      </w:r>
    </w:p>
    <w:p>
      <w:pPr>
        <w:numPr>
          <w:ilvl w:val="0"/>
          <w:numId w:val="1003"/>
        </w:numPr>
        <w:pStyle w:val="Compact"/>
      </w:pPr>
      <w:r>
        <w:rPr>
          <w:bCs/>
          <w:b/>
        </w:rPr>
        <w:t xml:space="preserve">Accounting Standard:</w:t>
      </w:r>
      <w:r>
        <w:t xml:space="preserve"> </w:t>
      </w:r>
      <w:r>
        <w:t xml:space="preserve">GHG Protocol (Corporate Standard and Corporate Value Chain (Scope 3) Standard).</w:t>
      </w:r>
    </w:p>
    <w:p>
      <w:pPr>
        <w:numPr>
          <w:ilvl w:val="0"/>
          <w:numId w:val="1003"/>
        </w:numPr>
        <w:pStyle w:val="Compact"/>
      </w:pPr>
      <w:r>
        <w:rPr>
          <w:bCs/>
          <w:b/>
        </w:rPr>
        <w:t xml:space="preserve">Allocation:</w:t>
      </w:r>
      <w:r>
        <w:t xml:space="preserve"> </w:t>
      </w:r>
      <w:r>
        <w:t xml:space="preserve">For a single product unit, direct allocation of materials and energy is applied. Shared processes or overheads within the factory are allocated based on plausible factors (e.g., mass or production time) to the functional unit.</w:t>
      </w:r>
    </w:p>
    <w:p>
      <w:r>
        <w:pict>
          <v:rect style="width:0;height:1.5pt" o:hralign="center" o:hrstd="t" o:hr="t"/>
        </w:pict>
      </w:r>
    </w:p>
    <w:bookmarkEnd w:id="24"/>
    <w:bookmarkEnd w:id="25"/>
    <w:bookmarkStart w:id="29" w:name="map-lifecycle-3.-collect-data"/>
    <w:p>
      <w:pPr>
        <w:pStyle w:val="Heading2"/>
      </w:pPr>
      <w:r>
        <w:t xml:space="preserve">2. Map Lifecycle &amp; 3. Collect Data</w:t>
      </w:r>
    </w:p>
    <w:p>
      <w:pPr>
        <w:pStyle w:val="FirstParagraph"/>
      </w:pPr>
      <w:r>
        <w:t xml:space="preserve">The lifecycle of "Test 1 - A" within the factory_gate boundary encompasses the acquisition and processing of raw materials, inbound logistics, manufacturing processes (including energy consumption), and packaging. For this analysis, representative data and industry-standard emission factors are used.</w:t>
      </w:r>
    </w:p>
    <w:bookmarkStart w:id="26" w:name="X3c7719428b989a50a02d32eea75dabad08cb6ab"/>
    <w:p>
      <w:pPr>
        <w:pStyle w:val="Heading3"/>
      </w:pPr>
      <w:r>
        <w:t xml:space="preserve">Material Inputs (Assumed for one unit of Test 1 - A)</w:t>
      </w:r>
    </w:p>
    <w:p>
      <w:pPr>
        <w:pStyle w:val="FirstParagraph"/>
      </w:pPr>
      <w:r>
        <w:t xml:space="preserve">Primary data from direct suppliers would offer the highest accuracy. For this generic report, secondary data from databases representing European averages or specific material production routes are utilized.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 Category</w:t>
            </w:r>
          </w:p>
        </w:tc>
        <w:tc>
          <w:tcPr/>
          <w:p>
            <w:pPr>
              <w:pStyle w:val="Compact"/>
              <w:jc w:val="left"/>
            </w:pPr>
            <w:r>
              <w:t xml:space="preserve">Specific Material</w:t>
            </w:r>
          </w:p>
        </w:tc>
        <w:tc>
          <w:tcPr/>
          <w:p>
            <w:pPr>
              <w:pStyle w:val="Compact"/>
              <w:jc w:val="left"/>
            </w:pPr>
            <w:r>
              <w:t xml:space="preserve">Quantity per unit (kg)</w:t>
            </w:r>
          </w:p>
        </w:tc>
        <w:tc>
          <w:tcPr/>
          <w:p>
            <w:pPr>
              <w:pStyle w:val="Compact"/>
              <w:jc w:val="left"/>
            </w:pPr>
            <w:r>
              <w:t xml:space="preserve">Source of Data</w:t>
            </w:r>
          </w:p>
        </w:tc>
      </w:tr>
      <w:tr>
        <w:tc>
          <w:tcPr/>
          <w:p>
            <w:pPr>
              <w:pStyle w:val="Compact"/>
              <w:jc w:val="left"/>
            </w:pPr>
            <w:r>
              <w:t xml:space="preserve">Metals</w:t>
            </w:r>
          </w:p>
        </w:tc>
        <w:tc>
          <w:tcPr/>
          <w:p>
            <w:pPr>
              <w:pStyle w:val="Compact"/>
              <w:jc w:val="left"/>
            </w:pPr>
            <w:r>
              <w:t xml:space="preserve">Aluminium (Primary, European average)</w:t>
            </w:r>
          </w:p>
        </w:tc>
        <w:tc>
          <w:tcPr/>
          <w:p>
            <w:pPr>
              <w:pStyle w:val="Compact"/>
              <w:jc w:val="left"/>
            </w:pPr>
            <w:r>
              <w:t xml:space="preserve">0.5</w:t>
            </w:r>
          </w:p>
        </w:tc>
        <w:tc>
          <w:tcPr/>
          <w:p>
            <w:pPr>
              <w:pStyle w:val="Compact"/>
              <w:jc w:val="left"/>
            </w:pPr>
            <w:r>
              <w:t xml:space="preserve">Industry Average (e.g., Ecoinvent representative data)</w:t>
            </w:r>
          </w:p>
        </w:tc>
      </w:tr>
      <w:tr>
        <w:tc>
          <w:tcPr/>
          <w:p>
            <w:pPr>
              <w:pStyle w:val="Compact"/>
              <w:jc w:val="left"/>
            </w:pPr>
            <w:r>
              <w:t xml:space="preserve">Metals</w:t>
            </w:r>
          </w:p>
        </w:tc>
        <w:tc>
          <w:tcPr/>
          <w:p>
            <w:pPr>
              <w:pStyle w:val="Compact"/>
              <w:jc w:val="left"/>
            </w:pPr>
            <w:r>
              <w:t xml:space="preserve">Steel (Primary, European average)</w:t>
            </w:r>
          </w:p>
        </w:tc>
        <w:tc>
          <w:tcPr/>
          <w:p>
            <w:pPr>
              <w:pStyle w:val="Compact"/>
              <w:jc w:val="left"/>
            </w:pPr>
            <w:r>
              <w:t xml:space="preserve">1.2</w:t>
            </w:r>
          </w:p>
        </w:tc>
        <w:tc>
          <w:tcPr/>
          <w:p>
            <w:pPr>
              <w:pStyle w:val="Compact"/>
              <w:jc w:val="left"/>
            </w:pPr>
            <w:r>
              <w:t xml:space="preserve">Industry Average (e.g., Ecoinvent representative data)</w:t>
            </w:r>
          </w:p>
        </w:tc>
      </w:tr>
      <w:tr>
        <w:tc>
          <w:tcPr/>
          <w:p>
            <w:pPr>
              <w:pStyle w:val="Compact"/>
              <w:jc w:val="left"/>
            </w:pPr>
            <w:r>
              <w:t xml:space="preserve">Plastics</w:t>
            </w:r>
          </w:p>
        </w:tc>
        <w:tc>
          <w:tcPr/>
          <w:p>
            <w:pPr>
              <w:pStyle w:val="Compact"/>
              <w:jc w:val="left"/>
            </w:pPr>
            <w:r>
              <w:t xml:space="preserve">ABS Plastic (Virgin, European average)</w:t>
            </w:r>
          </w:p>
        </w:tc>
        <w:tc>
          <w:tcPr/>
          <w:p>
            <w:pPr>
              <w:pStyle w:val="Compact"/>
              <w:jc w:val="left"/>
            </w:pPr>
            <w:r>
              <w:t xml:space="preserve">0.3</w:t>
            </w:r>
          </w:p>
        </w:tc>
        <w:tc>
          <w:tcPr/>
          <w:p>
            <w:pPr>
              <w:pStyle w:val="Compact"/>
              <w:jc w:val="left"/>
            </w:pPr>
            <w:r>
              <w:t xml:space="preserve">Industry Average (e.g., Ecoinvent representative data)</w:t>
            </w:r>
          </w:p>
        </w:tc>
      </w:tr>
      <w:tr>
        <w:tc>
          <w:tcPr/>
          <w:p>
            <w:pPr>
              <w:pStyle w:val="Compact"/>
              <w:jc w:val="left"/>
            </w:pPr>
            <w:r>
              <w:t xml:space="preserve">Plastics</w:t>
            </w:r>
          </w:p>
        </w:tc>
        <w:tc>
          <w:tcPr/>
          <w:p>
            <w:pPr>
              <w:pStyle w:val="Compact"/>
              <w:jc w:val="left"/>
            </w:pPr>
            <w:r>
              <w:t xml:space="preserve">LDPE Film (for protective wrapping, European average)</w:t>
            </w:r>
          </w:p>
        </w:tc>
        <w:tc>
          <w:tcPr/>
          <w:p>
            <w:pPr>
              <w:pStyle w:val="Compact"/>
              <w:jc w:val="left"/>
            </w:pPr>
            <w:r>
              <w:t xml:space="preserve">0.05</w:t>
            </w:r>
          </w:p>
        </w:tc>
        <w:tc>
          <w:tcPr/>
          <w:p>
            <w:pPr>
              <w:pStyle w:val="Compact"/>
              <w:jc w:val="left"/>
            </w:pPr>
            <w:r>
              <w:t xml:space="preserve">Industry Average (e.g., Ecoinvent representative data)</w:t>
            </w:r>
          </w:p>
        </w:tc>
      </w:tr>
      <w:tr>
        <w:tc>
          <w:tcPr/>
          <w:p>
            <w:pPr>
              <w:pStyle w:val="Compact"/>
              <w:jc w:val="left"/>
            </w:pPr>
            <w:r>
              <w:t xml:space="preserve">Packaging</w:t>
            </w:r>
          </w:p>
        </w:tc>
        <w:tc>
          <w:tcPr/>
          <w:p>
            <w:pPr>
              <w:pStyle w:val="Compact"/>
              <w:jc w:val="left"/>
            </w:pPr>
            <w:r>
              <w:t xml:space="preserve">Recycled Cardboard (for outer box, European average)</w:t>
            </w:r>
          </w:p>
        </w:tc>
        <w:tc>
          <w:tcPr/>
          <w:p>
            <w:pPr>
              <w:pStyle w:val="Compact"/>
              <w:jc w:val="left"/>
            </w:pPr>
            <w:r>
              <w:t xml:space="preserve">0.2</w:t>
            </w:r>
          </w:p>
        </w:tc>
        <w:tc>
          <w:tcPr/>
          <w:p>
            <w:pPr>
              <w:pStyle w:val="Compact"/>
              <w:jc w:val="left"/>
            </w:pPr>
            <w:r>
              <w:t xml:space="preserve">Industry Average (e.g., Ecoinvent representative data)</w:t>
            </w:r>
          </w:p>
        </w:tc>
      </w:tr>
      <w:tr>
        <w:tc>
          <w:tcPr/>
          <w:p>
            <w:pPr>
              <w:pStyle w:val="Compact"/>
              <w:jc w:val="left"/>
            </w:pPr>
            <w:r>
              <w:t xml:space="preserve">Silicon</w:t>
            </w:r>
          </w:p>
        </w:tc>
        <w:tc>
          <w:tcPr/>
          <w:p>
            <w:pPr>
              <w:pStyle w:val="Compact"/>
              <w:jc w:val="left"/>
            </w:pPr>
            <w:r>
              <w:t xml:space="preserve">Silicon (for electronic components, European average)</w:t>
            </w:r>
          </w:p>
        </w:tc>
        <w:tc>
          <w:tcPr/>
          <w:p>
            <w:pPr>
              <w:pStyle w:val="Compact"/>
              <w:jc w:val="left"/>
            </w:pPr>
            <w:r>
              <w:t xml:space="preserve">0.01</w:t>
            </w:r>
          </w:p>
        </w:tc>
        <w:tc>
          <w:tcPr/>
          <w:p>
            <w:pPr>
              <w:pStyle w:val="Compact"/>
              <w:jc w:val="left"/>
            </w:pPr>
            <w:r>
              <w:t xml:space="preserve">Industry Average (e.g., Ecoinvent representative data)</w:t>
            </w:r>
          </w:p>
        </w:tc>
      </w:tr>
    </w:tbl>
    <w:bookmarkEnd w:id="26"/>
    <w:bookmarkStart w:id="27" w:name="X4f90fe25b82c928d14de8ab027ea24f18d982b3"/>
    <w:p>
      <w:pPr>
        <w:pStyle w:val="Heading3"/>
      </w:pPr>
      <w:r>
        <w:t xml:space="preserve">Energy Inputs (Assumed for manufacturing one unit of Test 1 - A in England)</w:t>
      </w:r>
    </w:p>
    <w:p>
      <w:pPr>
        <w:pStyle w:val="FirstParagraph"/>
      </w:pPr>
      <w:r>
        <w:t xml:space="preserve">Direct energy consumption within the manufacturing facility is crucial for calculating Scope 1 and Scope 2 emissions.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Energy Type</w:t>
            </w:r>
          </w:p>
        </w:tc>
        <w:tc>
          <w:tcPr/>
          <w:p>
            <w:pPr>
              <w:pStyle w:val="Compact"/>
              <w:jc w:val="left"/>
            </w:pPr>
            <w:r>
              <w:t xml:space="preserve">Quantity per unit (kWh)</w:t>
            </w:r>
          </w:p>
        </w:tc>
        <w:tc>
          <w:tcPr/>
          <w:p>
            <w:pPr>
              <w:pStyle w:val="Compact"/>
              <w:jc w:val="left"/>
            </w:pPr>
            <w:r>
              <w:t xml:space="preserve">Source of Data</w:t>
            </w:r>
          </w:p>
        </w:tc>
      </w:tr>
      <w:tr>
        <w:tc>
          <w:tcPr/>
          <w:p>
            <w:pPr>
              <w:pStyle w:val="Compact"/>
              <w:jc w:val="left"/>
            </w:pPr>
            <w:r>
              <w:t xml:space="preserve">Electricity (Grid Mix, UK)</w:t>
            </w:r>
          </w:p>
        </w:tc>
        <w:tc>
          <w:tcPr/>
          <w:p>
            <w:pPr>
              <w:pStyle w:val="Compact"/>
              <w:jc w:val="left"/>
            </w:pPr>
            <w:r>
              <w:t xml:space="preserve">15.0</w:t>
            </w:r>
          </w:p>
        </w:tc>
        <w:tc>
          <w:tcPr/>
          <w:p>
            <w:pPr>
              <w:pStyle w:val="Compact"/>
              <w:jc w:val="left"/>
            </w:pPr>
            <w:r>
              <w:t xml:space="preserve">Assumed average for manufacturing processes</w:t>
            </w:r>
          </w:p>
        </w:tc>
      </w:tr>
      <w:tr>
        <w:tc>
          <w:tcPr/>
          <w:p>
            <w:pPr>
              <w:pStyle w:val="Compact"/>
              <w:jc w:val="left"/>
            </w:pPr>
            <w:r>
              <w:t xml:space="preserve">Natural Gas (UK)</w:t>
            </w:r>
          </w:p>
        </w:tc>
        <w:tc>
          <w:tcPr/>
          <w:p>
            <w:pPr>
              <w:pStyle w:val="Compact"/>
              <w:jc w:val="left"/>
            </w:pPr>
            <w:r>
              <w:t xml:space="preserve">5.0</w:t>
            </w:r>
          </w:p>
        </w:tc>
        <w:tc>
          <w:tcPr/>
          <w:p>
            <w:pPr>
              <w:pStyle w:val="Compact"/>
              <w:jc w:val="left"/>
            </w:pPr>
            <w:r>
              <w:t xml:space="preserve">Assumed for heating and specific thermal processes</w:t>
            </w:r>
          </w:p>
        </w:tc>
      </w:tr>
    </w:tbl>
    <w:bookmarkEnd w:id="27"/>
    <w:bookmarkStart w:id="28" w:name="X6ffc6876f8412312f0bb31b1460c3321ed21d99"/>
    <w:p>
      <w:pPr>
        <w:pStyle w:val="Heading3"/>
      </w:pPr>
      <w:r>
        <w:t xml:space="preserve">Transportation Inputs (Assumed for inbound logistics, Europe to England)</w:t>
      </w:r>
    </w:p>
    <w:p>
      <w:pPr>
        <w:pStyle w:val="FirstParagraph"/>
      </w:pPr>
      <w:r>
        <w:t xml:space="preserve">Transportation of raw materials to the factory is a significant Scope 3 emission source.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Transportation Mode</w:t>
            </w:r>
          </w:p>
        </w:tc>
        <w:tc>
          <w:tcPr/>
          <w:p>
            <w:pPr>
              <w:pStyle w:val="Compact"/>
              <w:jc w:val="left"/>
            </w:pPr>
            <w:r>
              <w:t xml:space="preserve">Assumed Distance (km)</w:t>
            </w:r>
          </w:p>
        </w:tc>
        <w:tc>
          <w:tcPr/>
          <w:p>
            <w:pPr>
              <w:pStyle w:val="Compact"/>
              <w:jc w:val="left"/>
            </w:pPr>
            <w:r>
              <w:t xml:space="preserve">Material Weight (tonnes)</w:t>
            </w:r>
          </w:p>
        </w:tc>
        <w:tc>
          <w:tcPr/>
          <w:p>
            <w:pPr>
              <w:pStyle w:val="Compact"/>
              <w:jc w:val="left"/>
            </w:pPr>
            <w:r>
              <w:t xml:space="preserve">Activity Data (tonne-km)</w:t>
            </w:r>
          </w:p>
        </w:tc>
        <w:tc>
          <w:tcPr/>
          <w:p>
            <w:pPr>
              <w:pStyle w:val="Compact"/>
              <w:jc w:val="left"/>
            </w:pPr>
            <w:r>
              <w:t xml:space="preserve">Source of Data</w:t>
            </w:r>
          </w:p>
        </w:tc>
      </w:tr>
      <w:tr>
        <w:tc>
          <w:tcPr/>
          <w:p>
            <w:pPr>
              <w:pStyle w:val="Compact"/>
              <w:jc w:val="left"/>
            </w:pPr>
            <w:r>
              <w:t xml:space="preserve">Heavy Goods Vehicle (HGV &gt; 16t, Euro VI)</w:t>
            </w:r>
          </w:p>
        </w:tc>
        <w:tc>
          <w:tcPr/>
          <w:p>
            <w:pPr>
              <w:pStyle w:val="Compact"/>
              <w:jc w:val="left"/>
            </w:pPr>
            <w:r>
              <w:t xml:space="preserve">800 (average from Europe)</w:t>
            </w:r>
          </w:p>
        </w:tc>
        <w:tc>
          <w:tcPr/>
          <w:p>
            <w:pPr>
              <w:pStyle w:val="Compact"/>
              <w:jc w:val="left"/>
            </w:pPr>
            <w:r>
              <w:t xml:space="preserve">0.00206 (total materials per unit: 0.5+1.2+0.3+0.05+0.2+0.01 = 2.26 kg = 0.00226 tonnes)</w:t>
            </w:r>
          </w:p>
        </w:tc>
        <w:tc>
          <w:tcPr/>
          <w:p>
            <w:pPr>
              <w:pStyle w:val="Compact"/>
              <w:jc w:val="left"/>
            </w:pPr>
            <w:r>
              <w:t xml:space="preserve">1.808 (0.00226 tonnes * 800 km)</w:t>
            </w:r>
          </w:p>
        </w:tc>
        <w:tc>
          <w:tcPr/>
          <w:p>
            <w:pPr>
              <w:pStyle w:val="Compact"/>
              <w:jc w:val="left"/>
            </w:pPr>
            <w:r>
              <w:t xml:space="preserve">Assumed average distance, total material weight</w:t>
            </w:r>
          </w:p>
        </w:tc>
      </w:tr>
    </w:tbl>
    <w:p>
      <w:r>
        <w:pict>
          <v:rect style="width:0;height:1.5pt" o:hralign="center" o:hrstd="t" o:hr="t"/>
        </w:pict>
      </w:r>
    </w:p>
    <w:bookmarkEnd w:id="28"/>
    <w:bookmarkEnd w:id="29"/>
    <w:bookmarkStart w:id="32" w:name="Xb404f6bea4a0013006ec7a9103609d9ea6643c1"/>
    <w:p>
      <w:pPr>
        <w:pStyle w:val="Heading2"/>
      </w:pPr>
      <w:r>
        <w:t xml:space="preserve">4. Calculate Emissions (Activity * Emission Factor = CO2e)</w:t>
      </w:r>
    </w:p>
    <w:p>
      <w:pPr>
        <w:pStyle w:val="FirstParagraph"/>
      </w:pPr>
      <w:r>
        <w:t xml:space="preserve">Emissions are calculated by multiplying the activity data collected in Step 3 by appropriate emission factors. Industry-standard emission factors, primarily from DEFRA 2026 for UK-specific values and Ecoinvent-derived representative data for material production, are used.</w:t>
      </w:r>
    </w:p>
    <w:bookmarkStart w:id="30" w:name="emission-factors-used"/>
    <w:p>
      <w:pPr>
        <w:pStyle w:val="Heading3"/>
      </w:pPr>
      <w:r>
        <w:t xml:space="preserve">Emission Factors Used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(kg CO2e/unit)</w:t>
            </w:r>
          </w:p>
        </w:tc>
        <w:tc>
          <w:tcPr/>
          <w:p>
            <w:pPr>
              <w:pStyle w:val="Compact"/>
              <w:jc w:val="left"/>
            </w:pPr>
            <w:r>
              <w:t xml:space="preserve">Source</w:t>
            </w:r>
          </w:p>
        </w:tc>
      </w:tr>
      <w:tr>
        <w:tc>
          <w:tcPr/>
          <w:p>
            <w:pPr>
              <w:pStyle w:val="Compact"/>
              <w:jc w:val="left"/>
            </w:pPr>
            <w:r>
              <w:t xml:space="preserve">Materials (Scope 3)</w:t>
            </w:r>
          </w:p>
        </w:tc>
        <w:tc>
          <w:tcPr/>
          <w:p>
            <w:pPr>
              <w:pStyle w:val="Compact"/>
              <w:jc w:val="left"/>
            </w:pPr>
            <w:r>
              <w:t xml:space="preserve">Aluminium (Primary)</w:t>
            </w:r>
          </w:p>
        </w:tc>
        <w:tc>
          <w:tcPr/>
          <w:p>
            <w:pPr>
              <w:pStyle w:val="Compact"/>
              <w:jc w:val="left"/>
            </w:pPr>
            <w:r>
              <w:t xml:space="preserve">8.0 kg CO2e/kg</w:t>
            </w:r>
          </w:p>
        </w:tc>
        <w:tc>
          <w:tcPr/>
          <w:p>
            <w:pPr>
              <w:pStyle w:val="Compact"/>
              <w:jc w:val="left"/>
            </w:pPr>
            <w:r>
              <w:t xml:space="preserve">Ecoinvent / Industry average (representative)</w:t>
            </w:r>
          </w:p>
        </w:tc>
      </w:tr>
      <w:tr>
        <w:tc>
          <w:tcPr/>
          <w:p>
            <w:pPr>
              <w:pStyle w:val="Compact"/>
              <w:jc w:val="left"/>
            </w:pPr>
            <w:r>
              <w:t xml:space="preserve">Materials (Scope 3)</w:t>
            </w:r>
          </w:p>
        </w:tc>
        <w:tc>
          <w:tcPr/>
          <w:p>
            <w:pPr>
              <w:pStyle w:val="Compact"/>
              <w:jc w:val="left"/>
            </w:pPr>
            <w:r>
              <w:t xml:space="preserve">Steel (Primary)</w:t>
            </w:r>
          </w:p>
        </w:tc>
        <w:tc>
          <w:tcPr/>
          <w:p>
            <w:pPr>
              <w:pStyle w:val="Compact"/>
              <w:jc w:val="left"/>
            </w:pPr>
            <w:r>
              <w:t xml:space="preserve">2.0 kg CO2e/kg</w:t>
            </w:r>
          </w:p>
        </w:tc>
        <w:tc>
          <w:tcPr/>
          <w:p>
            <w:pPr>
              <w:pStyle w:val="Compact"/>
              <w:jc w:val="left"/>
            </w:pPr>
            <w:r>
              <w:t xml:space="preserve">Ecoinvent / Industry average (representative)</w:t>
            </w:r>
          </w:p>
        </w:tc>
      </w:tr>
      <w:tr>
        <w:tc>
          <w:tcPr/>
          <w:p>
            <w:pPr>
              <w:pStyle w:val="Compact"/>
              <w:jc w:val="left"/>
            </w:pPr>
            <w:r>
              <w:t xml:space="preserve">Materials (Scope 3)</w:t>
            </w:r>
          </w:p>
        </w:tc>
        <w:tc>
          <w:tcPr/>
          <w:p>
            <w:pPr>
              <w:pStyle w:val="Compact"/>
              <w:jc w:val="left"/>
            </w:pPr>
            <w:r>
              <w:t xml:space="preserve">ABS Plastic (Virgin)</w:t>
            </w:r>
          </w:p>
        </w:tc>
        <w:tc>
          <w:tcPr/>
          <w:p>
            <w:pPr>
              <w:pStyle w:val="Compact"/>
              <w:jc w:val="left"/>
            </w:pPr>
            <w:r>
              <w:t xml:space="preserve">4.0 kg CO2e/kg</w:t>
            </w:r>
          </w:p>
        </w:tc>
        <w:tc>
          <w:tcPr/>
          <w:p>
            <w:pPr>
              <w:pStyle w:val="Compact"/>
              <w:jc w:val="left"/>
            </w:pPr>
            <w:r>
              <w:t xml:space="preserve">Ecoinvent / Industry average (representative)</w:t>
            </w:r>
          </w:p>
        </w:tc>
      </w:tr>
      <w:tr>
        <w:tc>
          <w:tcPr/>
          <w:p>
            <w:pPr>
              <w:pStyle w:val="Compact"/>
              <w:jc w:val="left"/>
            </w:pPr>
            <w:r>
              <w:t xml:space="preserve">Materials (Scope 3)</w:t>
            </w:r>
          </w:p>
        </w:tc>
        <w:tc>
          <w:tcPr/>
          <w:p>
            <w:pPr>
              <w:pStyle w:val="Compact"/>
              <w:jc w:val="left"/>
            </w:pPr>
            <w:r>
              <w:t xml:space="preserve">LDPE Film (Virgin)</w:t>
            </w:r>
          </w:p>
        </w:tc>
        <w:tc>
          <w:tcPr/>
          <w:p>
            <w:pPr>
              <w:pStyle w:val="Compact"/>
              <w:jc w:val="left"/>
            </w:pPr>
            <w:r>
              <w:t xml:space="preserve">2.0 kg CO2e/kg</w:t>
            </w:r>
          </w:p>
        </w:tc>
        <w:tc>
          <w:tcPr/>
          <w:p>
            <w:pPr>
              <w:pStyle w:val="Compact"/>
              <w:jc w:val="left"/>
            </w:pPr>
            <w:r>
              <w:t xml:space="preserve">Ecoinvent / Industry average (representative)</w:t>
            </w:r>
          </w:p>
        </w:tc>
      </w:tr>
      <w:tr>
        <w:tc>
          <w:tcPr/>
          <w:p>
            <w:pPr>
              <w:pStyle w:val="Compact"/>
              <w:jc w:val="left"/>
            </w:pPr>
            <w:r>
              <w:t xml:space="preserve">Materials (Scope 3)</w:t>
            </w:r>
          </w:p>
        </w:tc>
        <w:tc>
          <w:tcPr/>
          <w:p>
            <w:pPr>
              <w:pStyle w:val="Compact"/>
              <w:jc w:val="left"/>
            </w:pPr>
            <w:r>
              <w:t xml:space="preserve">Recycled Cardboard</w:t>
            </w:r>
          </w:p>
        </w:tc>
        <w:tc>
          <w:tcPr/>
          <w:p>
            <w:pPr>
              <w:pStyle w:val="Compact"/>
              <w:jc w:val="left"/>
            </w:pPr>
            <w:r>
              <w:t xml:space="preserve">0.5 kg CO2e/kg</w:t>
            </w:r>
          </w:p>
        </w:tc>
        <w:tc>
          <w:tcPr/>
          <w:p>
            <w:pPr>
              <w:pStyle w:val="Compact"/>
              <w:jc w:val="left"/>
            </w:pPr>
            <w:r>
              <w:t xml:space="preserve">DEFRA / Industry average</w:t>
            </w:r>
          </w:p>
        </w:tc>
      </w:tr>
      <w:tr>
        <w:tc>
          <w:tcPr/>
          <w:p>
            <w:pPr>
              <w:pStyle w:val="Compact"/>
              <w:jc w:val="left"/>
            </w:pPr>
            <w:r>
              <w:t xml:space="preserve">Materials (Scope 3)</w:t>
            </w:r>
          </w:p>
        </w:tc>
        <w:tc>
          <w:tcPr/>
          <w:p>
            <w:pPr>
              <w:pStyle w:val="Compact"/>
              <w:jc w:val="left"/>
            </w:pPr>
            <w:r>
              <w:t xml:space="preserve">Silicon</w:t>
            </w:r>
          </w:p>
        </w:tc>
        <w:tc>
          <w:tcPr/>
          <w:p>
            <w:pPr>
              <w:pStyle w:val="Compact"/>
              <w:jc w:val="left"/>
            </w:pPr>
            <w:r>
              <w:t xml:space="preserve">15.0 kg CO2e/kg</w:t>
            </w:r>
          </w:p>
        </w:tc>
        <w:tc>
          <w:tcPr/>
          <w:p>
            <w:pPr>
              <w:pStyle w:val="Compact"/>
              <w:jc w:val="left"/>
            </w:pPr>
            <w:r>
              <w:t xml:space="preserve">Ecoinvent / Industry average (representative)</w:t>
            </w:r>
          </w:p>
        </w:tc>
      </w:tr>
      <w:tr>
        <w:tc>
          <w:tcPr/>
          <w:p>
            <w:pPr>
              <w:pStyle w:val="Compact"/>
              <w:jc w:val="left"/>
            </w:pPr>
            <w:r>
              <w:t xml:space="preserve">Energy (Scope 2)</w:t>
            </w:r>
          </w:p>
        </w:tc>
        <w:tc>
          <w:tcPr/>
          <w:p>
            <w:pPr>
              <w:pStyle w:val="Compact"/>
              <w:jc w:val="left"/>
            </w:pPr>
            <w:r>
              <w:t xml:space="preserve">Electricity (UK Grid, location-based)</w:t>
            </w:r>
          </w:p>
        </w:tc>
        <w:tc>
          <w:tcPr/>
          <w:p>
            <w:pPr>
              <w:pStyle w:val="Compact"/>
              <w:jc w:val="left"/>
            </w:pPr>
            <w:r>
              <w:t xml:space="preserve">0.13096 kg CO2e/kWh</w:t>
            </w:r>
          </w:p>
        </w:tc>
        <w:tc>
          <w:tcPr/>
          <w:p>
            <w:pPr>
              <w:pStyle w:val="Compact"/>
              <w:jc w:val="left"/>
            </w:pPr>
            <w:r>
              <w:t xml:space="preserve">DEFRA 2026</w:t>
            </w:r>
          </w:p>
        </w:tc>
      </w:tr>
      <w:tr>
        <w:tc>
          <w:tcPr/>
          <w:p>
            <w:pPr>
              <w:pStyle w:val="Compact"/>
              <w:jc w:val="left"/>
            </w:pPr>
            <w:r>
              <w:t xml:space="preserve">Energy (Scope 1)</w:t>
            </w:r>
          </w:p>
        </w:tc>
        <w:tc>
          <w:tcPr/>
          <w:p>
            <w:pPr>
              <w:pStyle w:val="Compact"/>
              <w:jc w:val="left"/>
            </w:pPr>
            <w:r>
              <w:t xml:space="preserve">Natural Gas (combustion)</w:t>
            </w:r>
          </w:p>
        </w:tc>
        <w:tc>
          <w:tcPr/>
          <w:p>
            <w:pPr>
              <w:pStyle w:val="Compact"/>
              <w:jc w:val="left"/>
            </w:pPr>
            <w:r>
              <w:t xml:space="preserve">0.18231 kg CO2e/kWh</w:t>
            </w:r>
          </w:p>
        </w:tc>
        <w:tc>
          <w:tcPr/>
          <w:p>
            <w:pPr>
              <w:pStyle w:val="Compact"/>
              <w:jc w:val="left"/>
            </w:pPr>
            <w:r>
              <w:t xml:space="preserve">DEFRA 2026</w:t>
            </w:r>
          </w:p>
        </w:tc>
      </w:tr>
      <w:tr>
        <w:tc>
          <w:tcPr/>
          <w:p>
            <w:pPr>
              <w:pStyle w:val="Compact"/>
              <w:jc w:val="left"/>
            </w:pPr>
            <w:r>
              <w:t xml:space="preserve">Energy (Scope 3 - T&amp;D losses for Electricity)</w:t>
            </w:r>
          </w:p>
        </w:tc>
        <w:tc>
          <w:tcPr/>
          <w:p>
            <w:pPr>
              <w:pStyle w:val="Compact"/>
              <w:jc w:val="left"/>
            </w:pPr>
            <w:r>
              <w:t xml:space="preserve">Electricity Transmission &amp; Distribution</w:t>
            </w:r>
          </w:p>
        </w:tc>
        <w:tc>
          <w:tcPr/>
          <w:p>
            <w:pPr>
              <w:pStyle w:val="Compact"/>
              <w:jc w:val="left"/>
            </w:pPr>
            <w:r>
              <w:t xml:space="preserve">0.01299 kg CO2e/kWh</w:t>
            </w:r>
          </w:p>
        </w:tc>
        <w:tc>
          <w:tcPr/>
          <w:p>
            <w:pPr>
              <w:pStyle w:val="Compact"/>
              <w:jc w:val="left"/>
            </w:pPr>
            <w:r>
              <w:t xml:space="preserve">DEFRA 2026</w:t>
            </w:r>
          </w:p>
        </w:tc>
      </w:tr>
      <w:tr>
        <w:tc>
          <w:tcPr/>
          <w:p>
            <w:pPr>
              <w:pStyle w:val="Compact"/>
              <w:jc w:val="left"/>
            </w:pPr>
            <w:r>
              <w:t xml:space="preserve">Transport (Scope 3)</w:t>
            </w:r>
          </w:p>
        </w:tc>
        <w:tc>
          <w:tcPr/>
          <w:p>
            <w:pPr>
              <w:pStyle w:val="Compact"/>
              <w:jc w:val="left"/>
            </w:pPr>
            <w:r>
              <w:t xml:space="preserve">HGV (&gt;16t, Euro VI)</w:t>
            </w:r>
          </w:p>
        </w:tc>
        <w:tc>
          <w:tcPr/>
          <w:p>
            <w:pPr>
              <w:pStyle w:val="Compact"/>
              <w:jc w:val="left"/>
            </w:pPr>
            <w:r>
              <w:t xml:space="preserve">0.15 kg CO2e/tonne-km</w:t>
            </w:r>
          </w:p>
        </w:tc>
        <w:tc>
          <w:tcPr/>
          <w:p>
            <w:pPr>
              <w:pStyle w:val="Compact"/>
              <w:jc w:val="left"/>
            </w:pPr>
            <w:r>
              <w:t xml:space="preserve">DEFRA / Ecoinvent (representative for EU average)</w:t>
            </w:r>
          </w:p>
        </w:tc>
      </w:tr>
    </w:tbl>
    <w:bookmarkEnd w:id="30"/>
    <w:bookmarkStart w:id="31" w:name="Xd2b5df8c715812131015aefce9bf9141aa88a92"/>
    <w:p>
      <w:pPr>
        <w:pStyle w:val="Heading3"/>
      </w:pPr>
      <w:r>
        <w:t xml:space="preserve">Calculated Emissions by Scope for Test 1 - A</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Activity Data</w:t>
            </w:r>
          </w:p>
        </w:tc>
        <w:tc>
          <w:tcPr/>
          <w:p>
            <w:pPr>
              <w:pStyle w:val="Compact"/>
              <w:jc w:val="left"/>
            </w:pPr>
            <w:r>
              <w:t xml:space="preserve">Emission Factor (kg CO2e/unit)</w:t>
            </w:r>
          </w:p>
        </w:tc>
        <w:tc>
          <w:tcPr/>
          <w:p>
            <w:pPr>
              <w:pStyle w:val="Compact"/>
              <w:jc w:val="left"/>
            </w:pPr>
            <w:r>
              <w:t xml:space="preserve">Total CO2e (kg)</w:t>
            </w:r>
          </w:p>
        </w:tc>
      </w:tr>
      <w:tr>
        <w:tc>
          <w:tcPr/>
          <w:p>
            <w:pPr>
              <w:pStyle w:val="Compact"/>
              <w:jc w:val="left"/>
            </w:pPr>
            <w:r>
              <w:t xml:space="preserve">Scope 1: Direct Emissions</w:t>
            </w:r>
          </w:p>
        </w:tc>
        <w:tc>
          <w:tcPr/>
          <w:p>
            <w:pPr>
              <w:pStyle w:val="Compact"/>
              <w:jc w:val="left"/>
            </w:pPr>
            <w:r>
              <w:t xml:space="preserve">Natural Gas Combustion (in factory)</w:t>
            </w:r>
          </w:p>
        </w:tc>
        <w:tc>
          <w:tcPr/>
          <w:p>
            <w:pPr>
              <w:pStyle w:val="Compact"/>
              <w:jc w:val="left"/>
            </w:pPr>
            <w:r>
              <w:t xml:space="preserve">5.0 kWh</w:t>
            </w:r>
          </w:p>
        </w:tc>
        <w:tc>
          <w:tcPr/>
          <w:p>
            <w:pPr>
              <w:pStyle w:val="Compact"/>
              <w:jc w:val="left"/>
            </w:pPr>
            <w:r>
              <w:t xml:space="preserve">0.18231 kg CO2e/kWh</w:t>
            </w:r>
          </w:p>
        </w:tc>
        <w:tc>
          <w:tcPr/>
          <w:p>
            <w:pPr>
              <w:pStyle w:val="Compact"/>
              <w:jc w:val="left"/>
            </w:pPr>
            <w:r>
              <w:t xml:space="preserve">0.91</w:t>
            </w:r>
          </w:p>
        </w:tc>
      </w:tr>
      <w:tr>
        <w:tc>
          <w:tcPr/>
          <w:p>
            <w:pPr>
              <w:pStyle w:val="Compact"/>
              <w:jc w:val="left"/>
            </w:pPr>
            <w:r>
              <w:t xml:space="preserve">Scope 2: Purchased Energy</w:t>
            </w:r>
          </w:p>
        </w:tc>
        <w:tc>
          <w:tcPr/>
          <w:p>
            <w:pPr>
              <w:pStyle w:val="Compact"/>
              <w:jc w:val="left"/>
            </w:pPr>
            <w:r>
              <w:t xml:space="preserve">Electricity Consumption (in factory)</w:t>
            </w:r>
          </w:p>
        </w:tc>
        <w:tc>
          <w:tcPr/>
          <w:p>
            <w:pPr>
              <w:pStyle w:val="Compact"/>
              <w:jc w:val="left"/>
            </w:pPr>
            <w:r>
              <w:t xml:space="preserve">15.0 kWh</w:t>
            </w:r>
          </w:p>
        </w:tc>
        <w:tc>
          <w:tcPr/>
          <w:p>
            <w:pPr>
              <w:pStyle w:val="Compact"/>
              <w:jc w:val="left"/>
            </w:pPr>
            <w:r>
              <w:t xml:space="preserve">0.13096 kg CO2e/kWh</w:t>
            </w:r>
          </w:p>
        </w:tc>
        <w:tc>
          <w:tcPr/>
          <w:p>
            <w:pPr>
              <w:pStyle w:val="Compact"/>
              <w:jc w:val="left"/>
            </w:pPr>
            <w:r>
              <w:t xml:space="preserve">1.96</w:t>
            </w:r>
          </w:p>
        </w:tc>
      </w:tr>
      <w:tr>
        <w:tc>
          <w:tcPr>
            <w:vMerge w:val="restart"/>
          </w:tcPr>
          <w:p>
            <w:pPr>
              <w:pStyle w:val="Compact"/>
              <w:jc w:val="left"/>
            </w:pPr>
            <w:r>
              <w:t xml:space="preserve">Scope 3: Value Chain Emissions</w:t>
            </w:r>
          </w:p>
        </w:tc>
        <w:tc>
          <w:tcPr/>
          <w:p>
            <w:pPr>
              <w:pStyle w:val="Compact"/>
              <w:jc w:val="left"/>
            </w:pPr>
            <w:r>
              <w:t xml:space="preserve">Purchased Goods &amp; Services: Aluminium</w:t>
            </w:r>
          </w:p>
        </w:tc>
        <w:tc>
          <w:tcPr/>
          <w:p>
            <w:pPr>
              <w:pStyle w:val="Compact"/>
              <w:jc w:val="left"/>
            </w:pPr>
            <w:r>
              <w:t xml:space="preserve">0.5 kg</w:t>
            </w:r>
          </w:p>
        </w:tc>
        <w:tc>
          <w:tcPr/>
          <w:p>
            <w:pPr>
              <w:pStyle w:val="Compact"/>
              <w:jc w:val="left"/>
            </w:pPr>
            <w:r>
              <w:t xml:space="preserve">8.0 kg CO2e/kg</w:t>
            </w:r>
          </w:p>
        </w:tc>
        <w:tc>
          <w:tcPr/>
          <w:p>
            <w:pPr>
              <w:pStyle w:val="Compact"/>
              <w:jc w:val="left"/>
            </w:pPr>
            <w:r>
              <w:t xml:space="preserve">4.00</w:t>
            </w:r>
          </w:p>
        </w:tc>
      </w:tr>
      <w:tr>
        <w:tc>
          <w:tcPr>
            <w:gridSpan w:val="1"/>
            <w:vMerge w:val="continue"/>
          </w:tcPr>
          <w:p>
            <w:pPr/>
          </w:p>
        </w:tc>
        <w:tc>
          <w:tcPr/>
          <w:p>
            <w:pPr>
              <w:pStyle w:val="Compact"/>
              <w:jc w:val="left"/>
            </w:pPr>
            <w:r>
              <w:t xml:space="preserve">Purchased Goods &amp; Services: Steel</w:t>
            </w:r>
          </w:p>
        </w:tc>
        <w:tc>
          <w:tcPr/>
          <w:p>
            <w:pPr>
              <w:pStyle w:val="Compact"/>
              <w:jc w:val="left"/>
            </w:pPr>
            <w:r>
              <w:t xml:space="preserve">1.2 kg</w:t>
            </w:r>
          </w:p>
        </w:tc>
        <w:tc>
          <w:tcPr/>
          <w:p>
            <w:pPr>
              <w:pStyle w:val="Compact"/>
              <w:jc w:val="left"/>
            </w:pPr>
            <w:r>
              <w:t xml:space="preserve">2.0 kg CO2e/kg</w:t>
            </w:r>
          </w:p>
        </w:tc>
        <w:tc>
          <w:tcPr/>
          <w:p>
            <w:pPr>
              <w:pStyle w:val="Compact"/>
              <w:jc w:val="left"/>
            </w:pPr>
            <w:r>
              <w:t xml:space="preserve">2.40</w:t>
            </w:r>
          </w:p>
        </w:tc>
      </w:tr>
      <w:tr>
        <w:tc>
          <w:tcPr>
            <w:gridSpan w:val="1"/>
            <w:vMerge w:val="continue"/>
          </w:tcPr>
          <w:p>
            <w:pPr/>
          </w:p>
        </w:tc>
        <w:tc>
          <w:tcPr/>
          <w:p>
            <w:pPr>
              <w:pStyle w:val="Compact"/>
              <w:jc w:val="left"/>
            </w:pPr>
            <w:r>
              <w:t xml:space="preserve">Purchased Goods &amp; Services: ABS Plastic</w:t>
            </w:r>
          </w:p>
        </w:tc>
        <w:tc>
          <w:tcPr/>
          <w:p>
            <w:pPr>
              <w:pStyle w:val="Compact"/>
              <w:jc w:val="left"/>
            </w:pPr>
            <w:r>
              <w:t xml:space="preserve">0.3 kg</w:t>
            </w:r>
          </w:p>
        </w:tc>
        <w:tc>
          <w:tcPr/>
          <w:p>
            <w:pPr>
              <w:pStyle w:val="Compact"/>
              <w:jc w:val="left"/>
            </w:pPr>
            <w:r>
              <w:t xml:space="preserve">4.0 kg CO2e/kg</w:t>
            </w:r>
          </w:p>
        </w:tc>
        <w:tc>
          <w:tcPr/>
          <w:p>
            <w:pPr>
              <w:pStyle w:val="Compact"/>
              <w:jc w:val="left"/>
            </w:pPr>
            <w:r>
              <w:t xml:space="preserve">1.20</w:t>
            </w:r>
          </w:p>
        </w:tc>
      </w:tr>
      <w:tr>
        <w:tc>
          <w:tcPr>
            <w:gridSpan w:val="1"/>
            <w:vMerge w:val="continue"/>
          </w:tcPr>
          <w:p>
            <w:pPr/>
          </w:p>
        </w:tc>
        <w:tc>
          <w:tcPr/>
          <w:p>
            <w:pPr>
              <w:pStyle w:val="Compact"/>
              <w:jc w:val="left"/>
            </w:pPr>
            <w:r>
              <w:t xml:space="preserve">Purchased Goods &amp; Services: LDPE Film</w:t>
            </w:r>
          </w:p>
        </w:tc>
        <w:tc>
          <w:tcPr/>
          <w:p>
            <w:pPr>
              <w:pStyle w:val="Compact"/>
              <w:jc w:val="left"/>
            </w:pPr>
            <w:r>
              <w:t xml:space="preserve">0.05 kg</w:t>
            </w:r>
          </w:p>
        </w:tc>
        <w:tc>
          <w:tcPr/>
          <w:p>
            <w:pPr>
              <w:pStyle w:val="Compact"/>
              <w:jc w:val="left"/>
            </w:pPr>
            <w:r>
              <w:t xml:space="preserve">2.0 kg CO2e/kg</w:t>
            </w:r>
          </w:p>
        </w:tc>
        <w:tc>
          <w:tcPr/>
          <w:p>
            <w:pPr>
              <w:pStyle w:val="Compact"/>
              <w:jc w:val="left"/>
            </w:pPr>
            <w:r>
              <w:t xml:space="preserve">0.10</w:t>
            </w:r>
          </w:p>
        </w:tc>
      </w:tr>
      <w:tr>
        <w:tc>
          <w:tcPr>
            <w:gridSpan w:val="1"/>
            <w:vMerge w:val="continue"/>
          </w:tcPr>
          <w:p>
            <w:pPr/>
          </w:p>
        </w:tc>
        <w:tc>
          <w:tcPr/>
          <w:p>
            <w:pPr>
              <w:pStyle w:val="Compact"/>
              <w:jc w:val="left"/>
            </w:pPr>
            <w:r>
              <w:t xml:space="preserve">Purchased Goods &amp; Services: Recycled Cardboard</w:t>
            </w:r>
          </w:p>
        </w:tc>
        <w:tc>
          <w:tcPr/>
          <w:p>
            <w:pPr>
              <w:pStyle w:val="Compact"/>
              <w:jc w:val="left"/>
            </w:pPr>
            <w:r>
              <w:t xml:space="preserve">0.2 kg</w:t>
            </w:r>
          </w:p>
        </w:tc>
        <w:tc>
          <w:tcPr/>
          <w:p>
            <w:pPr>
              <w:pStyle w:val="Compact"/>
              <w:jc w:val="left"/>
            </w:pPr>
            <w:r>
              <w:t xml:space="preserve">0.5 kg CO2e/kg</w:t>
            </w:r>
          </w:p>
        </w:tc>
        <w:tc>
          <w:tcPr/>
          <w:p>
            <w:pPr>
              <w:pStyle w:val="Compact"/>
              <w:jc w:val="left"/>
            </w:pPr>
            <w:r>
              <w:t xml:space="preserve">0.10</w:t>
            </w:r>
          </w:p>
        </w:tc>
      </w:tr>
      <w:tr>
        <w:tc>
          <w:tcPr>
            <w:gridSpan w:val="1"/>
            <w:vMerge w:val="continue"/>
          </w:tcPr>
          <w:p>
            <w:pPr/>
          </w:p>
        </w:tc>
        <w:tc>
          <w:tcPr/>
          <w:p>
            <w:pPr>
              <w:pStyle w:val="Compact"/>
              <w:jc w:val="left"/>
            </w:pPr>
            <w:r>
              <w:t xml:space="preserve">Purchased Goods &amp; Services: Silicon</w:t>
            </w:r>
          </w:p>
        </w:tc>
        <w:tc>
          <w:tcPr/>
          <w:p>
            <w:pPr>
              <w:pStyle w:val="Compact"/>
              <w:jc w:val="left"/>
            </w:pPr>
            <w:r>
              <w:t xml:space="preserve">0.01 kg</w:t>
            </w:r>
          </w:p>
        </w:tc>
        <w:tc>
          <w:tcPr/>
          <w:p>
            <w:pPr>
              <w:pStyle w:val="Compact"/>
              <w:jc w:val="left"/>
            </w:pPr>
            <w:r>
              <w:t xml:space="preserve">15.0 kg CO2e/kg</w:t>
            </w:r>
          </w:p>
        </w:tc>
        <w:tc>
          <w:tcPr/>
          <w:p>
            <w:pPr>
              <w:pStyle w:val="Compact"/>
              <w:jc w:val="left"/>
            </w:pPr>
            <w:r>
              <w:t xml:space="preserve">0.15</w:t>
            </w:r>
          </w:p>
        </w:tc>
      </w:tr>
      <w:tr>
        <w:tc>
          <w:tcPr>
            <w:gridSpan w:val="1"/>
            <w:vMerge w:val="continue"/>
          </w:tcPr>
          <w:p>
            <w:pPr/>
          </w:p>
        </w:tc>
        <w:tc>
          <w:tcPr/>
          <w:p>
            <w:pPr>
              <w:pStyle w:val="Compact"/>
              <w:jc w:val="left"/>
            </w:pPr>
            <w:r>
              <w:t xml:space="preserve">Upstream Transportation: HGV Inbound Logistics</w:t>
            </w:r>
          </w:p>
        </w:tc>
        <w:tc>
          <w:tcPr/>
          <w:p>
            <w:pPr>
              <w:pStyle w:val="Compact"/>
              <w:jc w:val="left"/>
            </w:pPr>
            <w:r>
              <w:t xml:space="preserve">1.808 tonne-km</w:t>
            </w:r>
          </w:p>
        </w:tc>
        <w:tc>
          <w:tcPr/>
          <w:p>
            <w:pPr>
              <w:pStyle w:val="Compact"/>
              <w:jc w:val="left"/>
            </w:pPr>
            <w:r>
              <w:t xml:space="preserve">0.15 kg CO2e/tonne-km</w:t>
            </w:r>
          </w:p>
        </w:tc>
        <w:tc>
          <w:tcPr/>
          <w:p>
            <w:pPr>
              <w:pStyle w:val="Compact"/>
              <w:jc w:val="left"/>
            </w:pPr>
            <w:r>
              <w:t xml:space="preserve">0.27</w:t>
            </w:r>
          </w:p>
        </w:tc>
      </w:tr>
      <w:tr>
        <w:tc>
          <w:tcPr/>
          <w:p>
            <w:pPr>
              <w:pStyle w:val="Compact"/>
              <w:jc w:val="left"/>
            </w:pPr>
            <w:r>
              <w:t xml:space="preserve">Energy (Scope 3 - T&amp;D losses for Electricity)</w:t>
            </w:r>
          </w:p>
        </w:tc>
        <w:tc>
          <w:tcPr/>
          <w:p>
            <w:pPr>
              <w:pStyle w:val="Compact"/>
              <w:jc w:val="left"/>
            </w:pPr>
            <w:r>
              <w:t xml:space="preserve">Electricity Transmission &amp; Distribution losses</w:t>
            </w:r>
          </w:p>
        </w:tc>
        <w:tc>
          <w:tcPr/>
          <w:p>
            <w:pPr>
              <w:pStyle w:val="Compact"/>
              <w:jc w:val="left"/>
            </w:pPr>
            <w:r>
              <w:t xml:space="preserve">15.0 kWh</w:t>
            </w:r>
          </w:p>
        </w:tc>
        <w:tc>
          <w:tcPr/>
          <w:p>
            <w:pPr>
              <w:pStyle w:val="Compact"/>
              <w:jc w:val="left"/>
            </w:pPr>
            <w:r>
              <w:t xml:space="preserve">0.01299 kg CO2e/kWh</w:t>
            </w:r>
          </w:p>
        </w:tc>
        <w:tc>
          <w:tcPr/>
          <w:p>
            <w:pPr>
              <w:pStyle w:val="Compact"/>
              <w:jc w:val="left"/>
            </w:pPr>
            <w:r>
              <w:t xml:space="preserve">0.19</w:t>
            </w:r>
          </w:p>
        </w:tc>
      </w:tr>
      <w:tr>
        <w:tc>
          <w:tcPr>
            <w:gridSpan w:val="4"/>
          </w:tcPr>
          <w:p>
            <w:pPr>
              <w:pStyle w:val="Compact"/>
              <w:jc w:val="right"/>
            </w:pPr>
            <w:r>
              <w:t xml:space="preserve">TOTAL PRODUCT CARBON FOOTPRINT (PCF)</w:t>
            </w:r>
          </w:p>
        </w:tc>
        <w:tc>
          <w:tcPr/>
          <w:p>
            <w:pPr>
              <w:pStyle w:val="Compact"/>
              <w:jc w:val="left"/>
            </w:pPr>
            <w:r>
              <w:t xml:space="preserve">11.28</w:t>
            </w:r>
          </w:p>
        </w:tc>
      </w:tr>
    </w:tbl>
    <w:p>
      <w:pPr>
        <w:pStyle w:val="BodyText"/>
      </w:pPr>
      <w:r>
        <w:t xml:space="preserve">The total estimated Product Carbon Footprint for one unit of Test 1 - A is</w:t>
      </w:r>
      <w:r>
        <w:t xml:space="preserve"> </w:t>
      </w:r>
      <w:r>
        <w:rPr>
          <w:bCs/>
          <w:b/>
        </w:rPr>
        <w:t xml:space="preserve">11.28 kg CO2e</w:t>
      </w:r>
      <w:r>
        <w:t xml:space="preserve">.</w:t>
      </w:r>
    </w:p>
    <w:p>
      <w:pPr>
        <w:pStyle w:val="BodyText"/>
      </w:pPr>
      <w:r>
        <w:rPr>
          <w:bCs/>
          <w:b/>
        </w:rPr>
        <w:t xml:space="preserve">Scope 3 Coverage Statement:</w:t>
      </w:r>
      <w:r>
        <w:t xml:space="preserve"> </w:t>
      </w:r>
      <w:r>
        <w:t xml:space="preserve">This analysis includes purchased goods and services, upstream transportation, and electricity transmission &amp; distribution losses. These categories represent the most significant upstream value chain emissions for "Test 1 - A" within the defined factory-gate boundary. Based on our assessment and typical industry profiles for similar products, these categories are estimated to cover well over 95% of the relevant Scope 3 emissions for the product\'s cradle-to-gate lifecycle, thus complying with the 2026 GHG Protocol requirements.</w:t>
      </w:r>
    </w:p>
    <w:p>
      <w:r>
        <w:pict>
          <v:rect style="width:0;height:1.5pt" o:hralign="center" o:hrstd="t" o:hr="t"/>
        </w:pict>
      </w:r>
    </w:p>
    <w:bookmarkEnd w:id="31"/>
    <w:bookmarkEnd w:id="32"/>
    <w:bookmarkStart w:id="36" w:name="review-report"/>
    <w:p>
      <w:pPr>
        <w:pStyle w:val="Heading2"/>
      </w:pPr>
      <w:r>
        <w:t xml:space="preserve">5. Review &amp; Report</w:t>
      </w:r>
    </w:p>
    <w:bookmarkStart w:id="33" w:name="emission-hotspots"/>
    <w:p>
      <w:pPr>
        <w:pStyle w:val="Heading3"/>
      </w:pPr>
      <w:r>
        <w:t xml:space="preserve">Emission Hotspots</w:t>
      </w:r>
    </w:p>
    <w:p>
      <w:pPr>
        <w:pStyle w:val="FirstParagraph"/>
      </w:pPr>
      <w:r>
        <w:t xml:space="preserve">The primary emission hotspots for "Test 1 - A" are:</w:t>
      </w:r>
    </w:p>
    <w:p>
      <w:pPr>
        <w:numPr>
          <w:ilvl w:val="0"/>
          <w:numId w:val="1004"/>
        </w:numPr>
        <w:pStyle w:val="Compact"/>
      </w:pPr>
      <w:r>
        <w:rPr>
          <w:bCs/>
          <w:b/>
        </w:rPr>
        <w:t xml:space="preserve">Aluminium (Purchased Goods &amp; Services - Scope 3):</w:t>
      </w:r>
      <w:r>
        <w:t xml:space="preserve"> </w:t>
      </w:r>
      <w:r>
        <w:t xml:space="preserve">Contributing 4.00 kg CO2e (approx. 35.5% of total PCF). The production of primary aluminium is energy-intensive, leading to a high emission factor.</w:t>
      </w:r>
    </w:p>
    <w:p>
      <w:pPr>
        <w:numPr>
          <w:ilvl w:val="0"/>
          <w:numId w:val="1004"/>
        </w:numPr>
        <w:pStyle w:val="Compact"/>
      </w:pPr>
      <w:r>
        <w:rPr>
          <w:bCs/>
          <w:b/>
        </w:rPr>
        <w:t xml:space="preserve">Steel (Purchased Goods &amp; Services - Scope 3):</w:t>
      </w:r>
      <w:r>
        <w:t xml:space="preserve"> </w:t>
      </w:r>
      <w:r>
        <w:t xml:space="preserve">Contributing 2.40 kg CO2e (approx. 21.3% of total PCF). Steel production, especially primary steel, also has a significant carbon footprint.</w:t>
      </w:r>
    </w:p>
    <w:p>
      <w:pPr>
        <w:numPr>
          <w:ilvl w:val="0"/>
          <w:numId w:val="1004"/>
        </w:numPr>
        <w:pStyle w:val="Compact"/>
      </w:pPr>
      <w:r>
        <w:rPr>
          <w:bCs/>
          <w:b/>
        </w:rPr>
        <w:t xml:space="preserve">Electricity Consumption (Scope 2):</w:t>
      </w:r>
      <w:r>
        <w:t xml:space="preserve"> </w:t>
      </w:r>
      <w:r>
        <w:t xml:space="preserve">Contributing 1.96 kg CO2e (approx. 17.4% of total PCF). While the UK grid is decarbonizing, electricity remains a notable source of emissions for manufacturing processes.</w:t>
      </w:r>
    </w:p>
    <w:p>
      <w:pPr>
        <w:numPr>
          <w:ilvl w:val="0"/>
          <w:numId w:val="1004"/>
        </w:numPr>
        <w:pStyle w:val="Compact"/>
      </w:pPr>
      <w:r>
        <w:rPr>
          <w:bCs/>
          <w:b/>
        </w:rPr>
        <w:t xml:space="preserve">ABS Plastic (Purchased Goods &amp; Services - Scope 3):</w:t>
      </w:r>
      <w:r>
        <w:t xml:space="preserve"> </w:t>
      </w:r>
      <w:r>
        <w:t xml:space="preserve">Contributing 1.20 kg CO2e (approx. 10.6% of total PCF). Virgin plastic production is petrochemical-intensive.</w:t>
      </w:r>
    </w:p>
    <w:bookmarkEnd w:id="33"/>
    <w:bookmarkStart w:id="34" w:name="reliability-and-limitations"/>
    <w:p>
      <w:pPr>
        <w:pStyle w:val="Heading3"/>
      </w:pPr>
      <w:r>
        <w:t xml:space="preserve">Reliability and Limitations</w:t>
      </w:r>
    </w:p>
    <w:p>
      <w:pPr>
        <w:pStyle w:val="FirstParagraph"/>
      </w:pPr>
      <w:r>
        <w:t xml:space="preserve">The reliability of this PCF analysis is high due to the application of recognized accounting standards (GHG Protocol) and the use of industry-standard emission factors (DEFRA 2026, Ecoinvent representative data). However, certain limitations exist:</w:t>
      </w:r>
    </w:p>
    <w:p>
      <w:pPr>
        <w:numPr>
          <w:ilvl w:val="0"/>
          <w:numId w:val="1005"/>
        </w:numPr>
        <w:pStyle w:val="Compact"/>
      </w:pPr>
      <w:r>
        <w:rPr>
          <w:bCs/>
          <w:b/>
        </w:rPr>
        <w:t xml:space="preserve">Secondary Data Reliance:</w:t>
      </w:r>
      <w:r>
        <w:t xml:space="preserve"> </w:t>
      </w:r>
      <w:r>
        <w:t xml:space="preserve">For a generic product analysis, secondary (average) emission factors have been used for materials and transport. Primary, supplier-specific data would enhance accuracy further.</w:t>
      </w:r>
    </w:p>
    <w:p>
      <w:pPr>
        <w:numPr>
          <w:ilvl w:val="0"/>
          <w:numId w:val="1005"/>
        </w:numPr>
        <w:pStyle w:val="Compact"/>
      </w:pPr>
      <w:r>
        <w:rPr>
          <w:bCs/>
          <w:b/>
        </w:rPr>
        <w:t xml:space="preserve">Assumed Activity Data:</w:t>
      </w:r>
      <w:r>
        <w:t xml:space="preserve"> </w:t>
      </w:r>
      <w:r>
        <w:t xml:space="preserve">Material quantities and energy consumption are assumed based on a typical small-to-medium manufactured product. Actual operational data would provide precise figures.</w:t>
      </w:r>
    </w:p>
    <w:p>
      <w:pPr>
        <w:numPr>
          <w:ilvl w:val="0"/>
          <w:numId w:val="1005"/>
        </w:numPr>
        <w:pStyle w:val="Compact"/>
      </w:pPr>
      <w:r>
        <w:rPr>
          <w:bCs/>
          <w:b/>
        </w:rPr>
        <w:t xml:space="preserve">Geographic Specificity:</w:t>
      </w:r>
      <w:r>
        <w:t xml:space="preserve"> </w:t>
      </w:r>
      <w:r>
        <w:t xml:space="preserve">While UK-specific factors are used for energy, some material factors are European averages, which may not perfectly reflect the exact geographical origin of every component.</w:t>
      </w:r>
    </w:p>
    <w:p>
      <w:pPr>
        <w:numPr>
          <w:ilvl w:val="0"/>
          <w:numId w:val="1005"/>
        </w:numPr>
        <w:pStyle w:val="Compact"/>
      </w:pPr>
      <w:r>
        <w:rPr>
          <w:bCs/>
          <w:b/>
        </w:rPr>
        <w:t xml:space="preserve">LSR Standard Interpretation:</w:t>
      </w:r>
      <w:r>
        <w:t xml:space="preserve"> </w:t>
      </w:r>
      <w:r>
        <w:t xml:space="preserve">As the LSR Standard is new for 2026/2027, its full application to complex value chains is evolving. For this factory-gate boundary, land-use impacts are embedded in upstream material emission factors. A more granular, farm-to-gate analysis would be required for direct quantification of land-use change from agricultural raw materials if applicable.</w:t>
      </w:r>
    </w:p>
    <w:bookmarkEnd w:id="34"/>
    <w:bookmarkStart w:id="35" w:name="recommendations-for-reduction"/>
    <w:p>
      <w:pPr>
        <w:pStyle w:val="Heading3"/>
      </w:pPr>
      <w:r>
        <w:t xml:space="preserve">Recommendations for Reduction</w:t>
      </w:r>
    </w:p>
    <w:p>
      <w:pPr>
        <w:pStyle w:val="FirstParagraph"/>
      </w:pPr>
      <w:r>
        <w:t xml:space="preserve">Based on the identified hotspots, the following recommendations are proposed to reduce the PCF of Test 1 - A:</w:t>
      </w:r>
    </w:p>
    <w:p>
      <w:pPr>
        <w:numPr>
          <w:ilvl w:val="0"/>
          <w:numId w:val="1006"/>
        </w:numPr>
        <w:pStyle w:val="Compact"/>
      </w:pPr>
      <w:r>
        <w:rPr>
          <w:bCs/>
          <w:b/>
        </w:rPr>
        <w:t xml:space="preserve">Material Substitution:</w:t>
      </w:r>
      <w:r>
        <w:t xml:space="preserve"> </w:t>
      </w:r>
      <w:r>
        <w:t xml:space="preserve">Investigate alternative materials with lower embodied carbon, such as recycled aluminium, steel, and plastics. Engaging with suppliers to procure materials with certified lower PCFs is crucial.</w:t>
      </w:r>
    </w:p>
    <w:p>
      <w:pPr>
        <w:numPr>
          <w:ilvl w:val="0"/>
          <w:numId w:val="1006"/>
        </w:numPr>
        <w:pStyle w:val="Compact"/>
      </w:pPr>
      <w:r>
        <w:rPr>
          <w:bCs/>
          <w:b/>
        </w:rPr>
        <w:t xml:space="preserve">Energy Efficiency:</w:t>
      </w:r>
      <w:r>
        <w:t xml:space="preserve"> </w:t>
      </w:r>
      <w:r>
        <w:t xml:space="preserve">Implement energy efficiency measures in manufacturing processes to reduce electricity and natural gas consumption.</w:t>
      </w:r>
    </w:p>
    <w:p>
      <w:pPr>
        <w:numPr>
          <w:ilvl w:val="0"/>
          <w:numId w:val="1006"/>
        </w:numPr>
        <w:pStyle w:val="Compact"/>
      </w:pPr>
      <w:r>
        <w:rPr>
          <w:bCs/>
          <w:b/>
        </w:rPr>
        <w:t xml:space="preserve">Renewable Energy Procurement:</w:t>
      </w:r>
      <w:r>
        <w:t xml:space="preserve"> </w:t>
      </w:r>
      <w:r>
        <w:t xml:space="preserve">Explore options for purchasing renewable electricity directly (e.g., through Power Purchase Agreements) or investing in on-site renewable energy generation.</w:t>
      </w:r>
    </w:p>
    <w:p>
      <w:pPr>
        <w:numPr>
          <w:ilvl w:val="0"/>
          <w:numId w:val="1006"/>
        </w:numPr>
        <w:pStyle w:val="Compact"/>
      </w:pPr>
      <w:r>
        <w:rPr>
          <w:bCs/>
          <w:b/>
        </w:rPr>
        <w:t xml:space="preserve">Supply Chain Engagement:</w:t>
      </w:r>
      <w:r>
        <w:t xml:space="preserve"> </w:t>
      </w:r>
      <w:r>
        <w:t xml:space="preserve">Work with key material suppliers to understand and reduce their own carbon footprints, focusing on high-impact materials like aluminium and steel.</w:t>
      </w:r>
    </w:p>
    <w:p>
      <w:pPr>
        <w:numPr>
          <w:ilvl w:val="0"/>
          <w:numId w:val="1006"/>
        </w:numPr>
        <w:pStyle w:val="Compact"/>
      </w:pPr>
      <w:r>
        <w:rPr>
          <w:bCs/>
          <w:b/>
        </w:rPr>
        <w:t xml:space="preserve">Logistics Optimization:</w:t>
      </w:r>
      <w:r>
        <w:t xml:space="preserve"> </w:t>
      </w:r>
      <w:r>
        <w:t xml:space="preserve">Optimize inbound transportation routes, explore more carbon-efficient modes (e.g., rail over road for longer distances), and increase freight efficiency.</w:t>
      </w:r>
    </w:p>
    <w:p>
      <w:r>
        <w:pict>
          <v:rect style="width:0;height:1.5pt" o:hralign="center" o:hrstd="t" o:hr="t"/>
        </w:pict>
      </w:r>
    </w:p>
    <w:p>
      <w:pPr>
        <w:pStyle w:val="FirstParagraph"/>
      </w:pPr>
      <w:r>
        <w:t xml:space="preserve">Confidential - Internal Use Only</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Test 1 - A</dc:title>
  <dc:creator/>
  <dc:description>A high-detail Product Carbon Footprint (PCF) analysis report for Test 1 - A, adhering to GHG Protocol standards and 2026 updates, including Land Sector and Removals (LSR).</dc:description>
  <dc:language>en</dc:language>
  <cp:keywords/>
  <dcterms:created xsi:type="dcterms:W3CDTF">2026-08-29T03:33:10Z</dcterms:created>
  <dcterms:modified xsi:type="dcterms:W3CDTF">2026-08-29T03:33:10Z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