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Technical</w:t>
      </w:r>
      <w:r>
        <w:t xml:space="preserve"> </w:t>
      </w:r>
      <w:r>
        <w:t xml:space="preserve">Compounded</w:t>
      </w:r>
      <w:r>
        <w:t xml:space="preserve"> </w:t>
      </w:r>
      <w:r>
        <w:t xml:space="preserve">Rubber</w:t>
      </w:r>
      <w:r>
        <w:t xml:space="preserve"> </w:t>
      </w:r>
      <w:r>
        <w:t xml:space="preserve">(1.0</w:t>
      </w:r>
      <w:r>
        <w:t xml:space="preserve"> </w:t>
      </w:r>
      <w:r>
        <w:t xml:space="preserve">kg)</w:t>
      </w:r>
      <w:r>
        <w:t xml:space="preserve"> </w:t>
      </w:r>
      <w:r>
        <w:t xml:space="preserve">|</w:t>
      </w:r>
      <w:r>
        <w:t xml:space="preserve"> </w:t>
      </w:r>
      <w:r>
        <w:t xml:space="preserve">businessanalytiq.com</w:t>
      </w:r>
    </w:p>
    <w:p>
      <w:pPr>
        <w:pStyle w:val="FirstParagraph"/>
      </w:pPr>
      <w:r>
        <w:t xml:space="preserve">businessanalytiq.com</w:t>
      </w:r>
    </w:p>
    <w:p>
      <w:pPr>
        <w:pStyle w:val="BodyText"/>
      </w:pPr>
      <w:r>
        <w:t xml:space="preserve">Advanced Industrial Decarbonization &amp; Product Sustainability Intelligence</w:t>
      </w:r>
    </w:p>
    <w:p>
      <w:pPr>
        <w:pStyle w:val="BodyText"/>
      </w:pPr>
      <w:r>
        <w:t xml:space="preserve">GHG Protocol Product Standard Compliant</w:t>
      </w:r>
    </w:p>
    <w:bookmarkStart w:id="20" w:name="X7bba29eee99cb8a049cc4fa962c875ca0281544"/>
    <w:p>
      <w:pPr>
        <w:pStyle w:val="Heading1"/>
      </w:pPr>
      <w:r>
        <w:t xml:space="preserve">Product Carbon Footprint (PCF) Technical Report</w:t>
      </w:r>
    </w:p>
    <w:p>
      <w:pPr>
        <w:pStyle w:val="FirstParagraph"/>
      </w:pPr>
      <w:r>
        <w:t xml:space="preserve">Detailed Cradle-to-Factory-Gate GHG Inventory for Compounded Industrial Elastomer Rubber (1.0 kg)</w:t>
      </w:r>
    </w:p>
    <w:p>
      <w:pPr>
        <w:pStyle w:val="BodyText"/>
      </w:pPr>
      <w:r>
        <w:t xml:space="preserve">Product Analyzed</w:t>
      </w:r>
      <w:r>
        <w:t xml:space="preserve"> </w:t>
      </w:r>
      <w:r>
        <w:t xml:space="preserve">Compounded Rubber (SBR/NR Industrial Matrix)</w:t>
      </w:r>
    </w:p>
    <w:p>
      <w:pPr>
        <w:pStyle w:val="BodyText"/>
      </w:pPr>
      <w:r>
        <w:t xml:space="preserve">Functional Unit</w:t>
      </w:r>
      <w:r>
        <w:t xml:space="preserve"> </w:t>
      </w:r>
      <w:r>
        <w:t xml:space="preserve">1.0 kg of finished compounded elastomer</w:t>
      </w:r>
    </w:p>
    <w:p>
      <w:pPr>
        <w:pStyle w:val="BodyText"/>
      </w:pPr>
      <w:r>
        <w:t xml:space="preserve">System Boundary</w:t>
      </w:r>
      <w:r>
        <w:t xml:space="preserve"> </w:t>
      </w:r>
      <w:r>
        <w:t xml:space="preserve">Cradle-to-Factory-Gate (B2B Output)</w:t>
      </w:r>
    </w:p>
    <w:p>
      <w:pPr>
        <w:pStyle w:val="BodyText"/>
      </w:pPr>
      <w:r>
        <w:t xml:space="preserve">Geographic Scope</w:t>
      </w:r>
      <w:r>
        <w:t xml:space="preserve"> </w:t>
      </w:r>
      <w:r>
        <w:t xml:space="preserve">Production: United States | Supply Chain: North America</w:t>
      </w:r>
    </w:p>
    <w:p>
      <w:pPr>
        <w:pStyle w:val="BodyText"/>
      </w:pPr>
      <w:r>
        <w:t xml:space="preserve">Accounting Standard</w:t>
      </w:r>
      <w:r>
        <w:t xml:space="preserve"> </w:t>
      </w:r>
      <w:r>
        <w:t xml:space="preserve">GHG Protocol Product Life Cycle Standard (with 2026 LSR)</w:t>
      </w:r>
    </w:p>
    <w:p>
      <w:pPr>
        <w:pStyle w:val="BodyText"/>
      </w:pPr>
      <w:r>
        <w:t xml:space="preserve">Scope 3 Coverage</w:t>
      </w:r>
      <w:r>
        <w:t xml:space="preserve"> </w:t>
      </w:r>
      <w:r>
        <w:t xml:space="preserve">98.4% of total supply chain mass &amp; energy flows</w:t>
      </w:r>
    </w:p>
    <w:bookmarkEnd w:id="20"/>
    <w:p>
      <w:pPr>
        <w:pStyle w:val="BodyText"/>
      </w:pPr>
      <w:r>
        <w:rPr>
          <w:bCs/>
          <w:b/>
        </w:rPr>
        <w:t xml:space="preserve">Disclaimer:</w:t>
      </w:r>
      <w:r>
        <w:t xml:space="preserve"> </w:t>
      </w:r>
      <w:r>
        <w:t xml:space="preserve">This Product Carbon Footprint (PCF) report is generated based on verified industry inventories, primary compounding modeling, and recognized international Life Cycle Inventory (LCI) databases (Ecoinvent v3.10, US LCI, and DEFRA 2025/2026). Calculations incorporate the 2026 Land Sector and Removals (LSR) Guidance for biogenic land use and biogenic removals. Results are prepared for corporate disclosures, product declarations, and industrial procurement benchmark purposes.</w:t>
      </w:r>
    </w:p>
    <w:p>
      <w:pPr>
        <w:pStyle w:val="BodyText"/>
      </w:pPr>
      <w:r>
        <w:t xml:space="preserve">businessanalytiq.com • Product Carbon Footprint Assessment</w:t>
      </w:r>
    </w:p>
    <w:p>
      <w:pPr>
        <w:pStyle w:val="BodyText"/>
      </w:pPr>
      <w:r>
        <w:t xml:space="preserve">Generated Date: October 2026</w:t>
      </w:r>
    </w:p>
    <w:bookmarkStart w:id="30" w:name="executive-summary"/>
    <w:p>
      <w:pPr>
        <w:pStyle w:val="Heading1"/>
      </w:pPr>
      <w:r>
        <w:t xml:space="preserve">Executive Summary</w:t>
      </w:r>
    </w:p>
    <w:p>
      <w:pPr>
        <w:pStyle w:val="FirstParagraph"/>
      </w:pPr>
      <w:r>
        <w:t xml:space="preserve">This report delivers a rigorous, data-driven Product Carbon Footprint (PCF) analysis for</w:t>
      </w:r>
      <w:r>
        <w:t xml:space="preserve"> </w:t>
      </w:r>
      <w:r>
        <w:rPr>
          <w:bCs/>
          <w:b/>
        </w:rPr>
        <w:t xml:space="preserve">1.0 kg of industrial compounded technical rubber</w:t>
      </w:r>
      <w:r>
        <w:t xml:space="preserve"> </w:t>
      </w:r>
      <w:r>
        <w:t xml:space="preserve">manufactured at a representative polymer processing facility in the United States. Technical rubber compounds serve as critical intermediates across automotive tire treads, industrial belting, anti-vibration mounts, and seals.</w:t>
      </w:r>
    </w:p>
    <w:p>
      <w:pPr>
        <w:pStyle w:val="BodyText"/>
      </w:pPr>
      <w:r>
        <w:t xml:space="preserve">The assessment adopts a</w:t>
      </w:r>
      <w:r>
        <w:t xml:space="preserve"> </w:t>
      </w:r>
      <w:r>
        <w:rPr>
          <w:bCs/>
          <w:b/>
        </w:rPr>
        <w:t xml:space="preserve">cradle-to-factory-gate</w:t>
      </w:r>
      <w:r>
        <w:t xml:space="preserve"> </w:t>
      </w:r>
      <w:r>
        <w:t xml:space="preserve">system boundary adhering strictly to the</w:t>
      </w:r>
      <w:r>
        <w:t xml:space="preserve"> </w:t>
      </w:r>
      <w:r>
        <w:rPr>
          <w:iCs/>
          <w:i/>
        </w:rPr>
        <w:t xml:space="preserve">GHG Protocol Product Life Cycle Accounting and Reporting Standard</w:t>
      </w:r>
      <w:r>
        <w:t xml:space="preserve">, integrated with the</w:t>
      </w:r>
      <w:r>
        <w:t xml:space="preserve"> </w:t>
      </w:r>
      <w:r>
        <w:rPr>
          <w:bCs/>
          <w:b/>
        </w:rPr>
        <w:t xml:space="preserve">2026 Land Sector and Removals (LSR) Standard</w:t>
      </w:r>
      <w:r>
        <w:t xml:space="preserve"> </w:t>
      </w:r>
      <w:r>
        <w:t xml:space="preserve">for biogenic and land-use emissions tracking, alongside a</w:t>
      </w:r>
      <w:r>
        <w:t xml:space="preserve"> </w:t>
      </w:r>
      <w:r>
        <w:rPr>
          <w:bCs/>
          <w:b/>
        </w:rPr>
        <w:t xml:space="preserve">&gt;95% Scope 3 value chain coverage</w:t>
      </w:r>
      <w:r>
        <w:t xml:space="preserve"> </w:t>
      </w:r>
      <w:r>
        <w:t xml:space="preserve">threshold.</w:t>
      </w:r>
    </w:p>
    <w:p>
      <w:pPr>
        <w:pStyle w:val="BodyText"/>
      </w:pPr>
      <w:r>
        <w:t xml:space="preserve">Total Net PCF</w:t>
      </w:r>
    </w:p>
    <w:p>
      <w:pPr>
        <w:pStyle w:val="BodyText"/>
      </w:pPr>
      <w:r>
        <w:t xml:space="preserve">3.047 kg</w:t>
      </w:r>
    </w:p>
    <w:p>
      <w:pPr>
        <w:pStyle w:val="BodyText"/>
      </w:pPr>
      <w:r>
        <w:t xml:space="preserve">CO</w:t>
      </w:r>
      <w:r>
        <w:rPr>
          <w:vertAlign w:val="subscript"/>
        </w:rPr>
        <w:t xml:space="preserve">2</w:t>
      </w:r>
      <w:r>
        <w:t xml:space="preserve">e / kg rubber</w:t>
      </w:r>
    </w:p>
    <w:p>
      <w:pPr>
        <w:pStyle w:val="BodyText"/>
      </w:pPr>
      <w:r>
        <w:t xml:space="preserve">Scope 1 (Direct)</w:t>
      </w:r>
    </w:p>
    <w:p>
      <w:pPr>
        <w:pStyle w:val="BodyText"/>
      </w:pPr>
      <w:r>
        <w:t xml:space="preserve">0.088 kg</w:t>
      </w:r>
    </w:p>
    <w:p>
      <w:pPr>
        <w:pStyle w:val="BodyText"/>
      </w:pPr>
      <w:r>
        <w:t xml:space="preserve">CO</w:t>
      </w:r>
      <w:r>
        <w:rPr>
          <w:vertAlign w:val="subscript"/>
        </w:rPr>
        <w:t xml:space="preserve">2</w:t>
      </w:r>
      <w:r>
        <w:t xml:space="preserve">e (2.89%)</w:t>
      </w:r>
    </w:p>
    <w:p>
      <w:pPr>
        <w:pStyle w:val="BodyText"/>
      </w:pPr>
      <w:r>
        <w:t xml:space="preserve">Scope 2 (Market-based)</w:t>
      </w:r>
    </w:p>
    <w:p>
      <w:pPr>
        <w:pStyle w:val="BodyText"/>
      </w:pPr>
      <w:r>
        <w:t xml:space="preserve">0.184 kg</w:t>
      </w:r>
    </w:p>
    <w:p>
      <w:pPr>
        <w:pStyle w:val="BodyText"/>
      </w:pPr>
      <w:r>
        <w:t xml:space="preserve">CO</w:t>
      </w:r>
      <w:r>
        <w:rPr>
          <w:vertAlign w:val="subscript"/>
        </w:rPr>
        <w:t xml:space="preserve">2</w:t>
      </w:r>
      <w:r>
        <w:t xml:space="preserve">e (6.04%)</w:t>
      </w:r>
    </w:p>
    <w:p>
      <w:pPr>
        <w:pStyle w:val="BodyText"/>
      </w:pPr>
      <w:r>
        <w:t xml:space="preserve">Scope 3 (Upstream)</w:t>
      </w:r>
    </w:p>
    <w:p>
      <w:pPr>
        <w:pStyle w:val="BodyText"/>
      </w:pPr>
      <w:r>
        <w:t xml:space="preserve">2.775 kg</w:t>
      </w:r>
    </w:p>
    <w:p>
      <w:pPr>
        <w:pStyle w:val="BodyText"/>
      </w:pPr>
      <w:r>
        <w:t xml:space="preserve">CO</w:t>
      </w:r>
      <w:r>
        <w:rPr>
          <w:vertAlign w:val="subscript"/>
        </w:rPr>
        <w:t xml:space="preserve">2</w:t>
      </w:r>
      <w:r>
        <w:t xml:space="preserve">e (91.07%)</w:t>
      </w:r>
    </w:p>
    <w:p>
      <w:pPr>
        <w:pStyle w:val="BodyText"/>
      </w:pPr>
      <w:r>
        <w:rPr>
          <w:bCs/>
          <w:b/>
        </w:rPr>
        <w:t xml:space="preserve">Key Takeaway:</w:t>
      </w:r>
      <w:r>
        <w:t xml:space="preserve"> </w:t>
      </w:r>
      <w:r>
        <w:t xml:space="preserve">Upstream raw material synthesis represents</w:t>
      </w:r>
      <w:r>
        <w:t xml:space="preserve"> </w:t>
      </w:r>
      <w:r>
        <w:rPr>
          <w:bCs/>
          <w:b/>
        </w:rPr>
        <w:t xml:space="preserve">89.1%</w:t>
      </w:r>
      <w:r>
        <w:t xml:space="preserve"> </w:t>
      </w:r>
      <w:r>
        <w:t xml:space="preserve">of the overall footprint, heavily driven by furnace carbon black production (0.742 kg CO</w:t>
      </w:r>
      <w:r>
        <w:rPr>
          <w:vertAlign w:val="subscript"/>
        </w:rPr>
        <w:t xml:space="preserve">2</w:t>
      </w:r>
      <w:r>
        <w:t xml:space="preserve">e) and synthetic elastomer polymerization (1.134 kg CO</w:t>
      </w:r>
      <w:r>
        <w:rPr>
          <w:vertAlign w:val="subscript"/>
        </w:rPr>
        <w:t xml:space="preserve">2</w:t>
      </w:r>
      <w:r>
        <w:t xml:space="preserve">e). Plant-level processing (Scope 1 and Scope 2 combined) contributes</w:t>
      </w:r>
      <w:r>
        <w:t xml:space="preserve"> </w:t>
      </w:r>
      <w:r>
        <w:rPr>
          <w:bCs/>
          <w:b/>
        </w:rPr>
        <w:t xml:space="preserve">8.93%</w:t>
      </w:r>
      <w:r>
        <w:t xml:space="preserve"> </w:t>
      </w:r>
      <w:r>
        <w:t xml:space="preserve">(0.272 kg CO</w:t>
      </w:r>
      <w:r>
        <w:rPr>
          <w:vertAlign w:val="subscript"/>
        </w:rPr>
        <w:t xml:space="preserve">2</w:t>
      </w:r>
      <w:r>
        <w:t xml:space="preserve">e/kg). Under the 2026 GHG Protocol LSR rule, biogenic carbon stored in natural rubber is reported discretely alongside fossil emissions.</w:t>
      </w:r>
    </w:p>
    <w:p>
      <w:r>
        <w:pict>
          <v:rect style="width:0;height:1.5pt" o:hralign="center" o:hrstd="t" o:hr="t"/>
        </w:pict>
      </w:r>
    </w:p>
    <w:bookmarkStart w:id="21" w:name="step-1-define-scope-system-boundaries"/>
    <w:p>
      <w:pPr>
        <w:pStyle w:val="Heading2"/>
      </w:pPr>
      <w:r>
        <w:t xml:space="preserve">Step 1: Define Scope &amp; System Boundaries</w:t>
      </w:r>
    </w:p>
    <w:p>
      <w:pPr>
        <w:pStyle w:val="FirstParagraph"/>
      </w:pPr>
      <w:r>
        <w:t xml:space="preserve">The goal of this study is to quantify the greenhouse gas emissions associated with the cradle-to-factory-gate production of finished compounded technical rubber supplied to North American manufacturers.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Specification</w:t>
            </w:r>
          </w:p>
        </w:tc>
        <w:tc>
          <w:tcPr/>
          <w:p>
            <w:pPr>
              <w:pStyle w:val="Compact"/>
              <w:jc w:val="left"/>
            </w:pPr>
            <w:r>
              <w:t xml:space="preserve">Methodological Justification</w:t>
            </w:r>
          </w:p>
        </w:tc>
      </w:tr>
      <w:tr>
        <w:tc>
          <w:tcPr/>
          <w:p>
            <w:pPr>
              <w:pStyle w:val="Compact"/>
              <w:jc w:val="left"/>
            </w:pPr>
            <w:r>
              <w:rPr>
                <w:bCs/>
                <w:b/>
              </w:rPr>
              <w:t xml:space="preserve">Functional Unit</w:t>
            </w:r>
          </w:p>
        </w:tc>
        <w:tc>
          <w:tcPr/>
          <w:p>
            <w:pPr>
              <w:pStyle w:val="Compact"/>
              <w:jc w:val="left"/>
            </w:pPr>
            <w:r>
              <w:t xml:space="preserve">1.0 kg of uncured/pre-formed compounded elastomer compound</w:t>
            </w:r>
          </w:p>
        </w:tc>
        <w:tc>
          <w:tcPr/>
          <w:p>
            <w:pPr>
              <w:pStyle w:val="Compact"/>
              <w:jc w:val="left"/>
            </w:pPr>
            <w:r>
              <w:t xml:space="preserve">Standard physical unit for B2B industrial procurement and polymer trading.</w:t>
            </w:r>
          </w:p>
        </w:tc>
      </w:tr>
      <w:tr>
        <w:tc>
          <w:tcPr/>
          <w:p>
            <w:pPr>
              <w:pStyle w:val="Compact"/>
              <w:jc w:val="left"/>
            </w:pPr>
            <w:r>
              <w:rPr>
                <w:bCs/>
                <w:b/>
              </w:rPr>
              <w:t xml:space="preserve">System Boundary</w:t>
            </w:r>
          </w:p>
        </w:tc>
        <w:tc>
          <w:tcPr/>
          <w:p>
            <w:pPr>
              <w:pStyle w:val="Compact"/>
              <w:jc w:val="left"/>
            </w:pPr>
            <w:r>
              <w:t xml:space="preserve">Cradle-to-Factory-Gate (Business-to-Business)</w:t>
            </w:r>
          </w:p>
        </w:tc>
        <w:tc>
          <w:tcPr/>
          <w:p>
            <w:pPr>
              <w:pStyle w:val="Compact"/>
              <w:jc w:val="left"/>
            </w:pPr>
            <w:r>
              <w:t xml:space="preserve">Encompasses raw material extraction, refining, transport to factory, internal Banbury mixing, drop milling, straining, and batch-off cooling. Excludes downstream vulcanization at customer plants and end-of-life disposal.</w:t>
            </w:r>
          </w:p>
        </w:tc>
      </w:tr>
      <w:tr>
        <w:tc>
          <w:tcPr/>
          <w:p>
            <w:pPr>
              <w:pStyle w:val="Compact"/>
              <w:jc w:val="left"/>
            </w:pPr>
            <w:r>
              <w:rPr>
                <w:bCs/>
                <w:b/>
              </w:rPr>
              <w:t xml:space="preserve">Geographic Scope</w:t>
            </w:r>
          </w:p>
        </w:tc>
        <w:tc>
          <w:tcPr/>
          <w:p>
            <w:pPr>
              <w:pStyle w:val="Compact"/>
              <w:jc w:val="left"/>
            </w:pPr>
            <w:r>
              <w:t xml:space="preserve">Final compounding: United States.</w:t>
            </w:r>
            <w:r>
              <w:br/>
            </w:r>
            <w:r>
              <w:t xml:space="preserve">Supply chain: North America &amp; Global TSR imports.</w:t>
            </w:r>
          </w:p>
        </w:tc>
        <w:tc>
          <w:tcPr/>
          <w:p>
            <w:pPr>
              <w:pStyle w:val="Compact"/>
              <w:jc w:val="left"/>
            </w:pPr>
            <w:r>
              <w:t xml:space="preserve">Reflects typical North American rubber compounding operations utilizing domestic synthetic polymers and imported natural rubber.</w:t>
            </w:r>
          </w:p>
        </w:tc>
      </w:tr>
      <w:tr>
        <w:tc>
          <w:tcPr/>
          <w:p>
            <w:pPr>
              <w:pStyle w:val="Compact"/>
              <w:jc w:val="left"/>
            </w:pPr>
            <w:r>
              <w:rPr>
                <w:bCs/>
                <w:b/>
              </w:rPr>
              <w:t xml:space="preserve">Accounting Standard</w:t>
            </w:r>
          </w:p>
        </w:tc>
        <w:tc>
          <w:tcPr/>
          <w:p>
            <w:pPr>
              <w:pStyle w:val="Compact"/>
              <w:jc w:val="left"/>
            </w:pPr>
            <w:r>
              <w:t xml:space="preserve">GHG Protocol Product Standard</w:t>
            </w:r>
          </w:p>
        </w:tc>
        <w:tc>
          <w:tcPr/>
          <w:p>
            <w:pPr>
              <w:pStyle w:val="Compact"/>
              <w:jc w:val="left"/>
            </w:pPr>
            <w:r>
              <w:t xml:space="preserve">Full alignment with ISO 14067:2018 and GHG Protocol corporate value chain rules.</w:t>
            </w:r>
          </w:p>
        </w:tc>
      </w:tr>
      <w:tr>
        <w:tc>
          <w:tcPr/>
          <w:p>
            <w:pPr>
              <w:pStyle w:val="Compact"/>
              <w:jc w:val="left"/>
            </w:pPr>
            <w:r>
              <w:rPr>
                <w:bCs/>
                <w:b/>
              </w:rPr>
              <w:t xml:space="preserve">2026 LSR Standard Rule</w:t>
            </w:r>
          </w:p>
        </w:tc>
        <w:tc>
          <w:tcPr/>
          <w:p>
            <w:pPr>
              <w:pStyle w:val="Compact"/>
              <w:jc w:val="left"/>
            </w:pPr>
            <w:r>
              <w:t xml:space="preserve">Mandatory Land Sector &amp; Removals</w:t>
            </w:r>
          </w:p>
        </w:tc>
        <w:tc>
          <w:tcPr/>
          <w:p>
            <w:pPr>
              <w:pStyle w:val="Compact"/>
              <w:jc w:val="left"/>
            </w:pPr>
            <w:r>
              <w:t xml:space="preserve">Accounts separately for gross fossil emissions, biogenic carbon flux, land-use change (LUC), and biogenic removals from hevea brasiliensis cultivation.</w:t>
            </w:r>
          </w:p>
        </w:tc>
      </w:tr>
      <w:tr>
        <w:tc>
          <w:tcPr/>
          <w:p>
            <w:pPr>
              <w:pStyle w:val="Compact"/>
              <w:jc w:val="left"/>
            </w:pPr>
            <w:r>
              <w:rPr>
                <w:bCs/>
                <w:b/>
              </w:rPr>
              <w:t xml:space="preserve">Cut-off Criteria</w:t>
            </w:r>
          </w:p>
        </w:tc>
        <w:tc>
          <w:tcPr/>
          <w:p>
            <w:pPr>
              <w:pStyle w:val="Compact"/>
              <w:jc w:val="left"/>
            </w:pPr>
            <w:r>
              <w:t xml:space="preserve">&gt;95% Mass and Energy Coverage</w:t>
            </w:r>
          </w:p>
        </w:tc>
        <w:tc>
          <w:tcPr/>
          <w:p>
            <w:pPr>
              <w:pStyle w:val="Compact"/>
              <w:jc w:val="left"/>
            </w:pPr>
            <w:r>
              <w:t xml:space="preserve">All chemical ingredients &gt;0.1% by mass included. Combined coverage exceeds 98.4% of total mass.</w:t>
            </w:r>
          </w:p>
        </w:tc>
      </w:tr>
      <w:tr>
        <w:tc>
          <w:tcPr/>
          <w:p>
            <w:pPr>
              <w:pStyle w:val="Compact"/>
              <w:jc w:val="left"/>
            </w:pPr>
            <w:r>
              <w:rPr>
                <w:bCs/>
                <w:b/>
              </w:rPr>
              <w:t xml:space="preserve">Allocation Method</w:t>
            </w:r>
          </w:p>
        </w:tc>
        <w:tc>
          <w:tcPr/>
          <w:p>
            <w:pPr>
              <w:pStyle w:val="Compact"/>
              <w:jc w:val="left"/>
            </w:pPr>
            <w:r>
              <w:t xml:space="preserve">Physical (Mass-based) and Energy-based</w:t>
            </w:r>
          </w:p>
        </w:tc>
        <w:tc>
          <w:tcPr/>
          <w:p>
            <w:pPr>
              <w:pStyle w:val="Compact"/>
              <w:jc w:val="left"/>
            </w:pPr>
            <w:r>
              <w:t xml:space="preserve">Plant utility allocation uses machine hour and mass throughput weighting; refinery co-products apply energy allocation per ISO standard rules.</w:t>
            </w:r>
          </w:p>
        </w:tc>
      </w:tr>
    </w:tbl>
    <w:p>
      <w:r>
        <w:pict>
          <v:rect style="width:0;height:1.5pt" o:hralign="center" o:hrstd="t" o:hr="t"/>
        </w:pict>
      </w:r>
    </w:p>
    <w:bookmarkEnd w:id="21"/>
    <w:bookmarkStart w:id="22" w:name="Xef2cad8b6715bfd9664e6ec6d96ac44c4a46fb4"/>
    <w:p>
      <w:pPr>
        <w:pStyle w:val="Heading2"/>
      </w:pPr>
      <w:r>
        <w:t xml:space="preserve">Step 2: Map Lifecycle (LCI Inventory Stages)</w:t>
      </w:r>
    </w:p>
    <w:p>
      <w:pPr>
        <w:pStyle w:val="FirstParagraph"/>
      </w:pPr>
      <w:r>
        <w:t xml:space="preserve">The life cycle inventory (LCI) tracks three foundational unit processes depicted in the process flow:</w:t>
      </w:r>
    </w:p>
    <w:p>
      <w:pPr>
        <w:numPr>
          <w:ilvl w:val="0"/>
          <w:numId w:val="1001"/>
        </w:numPr>
        <w:pStyle w:val="Compact"/>
      </w:pPr>
      <w:r>
        <w:rPr>
          <w:bCs/>
          <w:b/>
        </w:rPr>
        <w:t xml:space="preserve">Stage 1: Upstream Raw Material Extraction &amp; Synthesis (Scope 3, Category 1):</w:t>
      </w:r>
      <w:r>
        <w:t xml:space="preserve"> </w:t>
      </w:r>
      <w:r>
        <w:t xml:space="preserve">Crude petroleum extraction, steam cracking of butadiene and styrene monomers, solution/emulsion polymerization for Styrene-Butadiene Rubber (SBR); natural rubber tapping, latex coagulum processing into Technically Specified Rubber (TSR20); high-temperature thermal decomposition of aromatic oil feedstock into furnace carbon black; precipitated silica precipitation and organosilane coupling agent synthesis; petrochemical process oils and vulcanization chemicals (zinc oxide, sulfur, accelerators).</w:t>
      </w:r>
    </w:p>
    <w:p>
      <w:pPr>
        <w:numPr>
          <w:ilvl w:val="0"/>
          <w:numId w:val="1001"/>
        </w:numPr>
        <w:pStyle w:val="Compact"/>
      </w:pPr>
      <w:r>
        <w:rPr>
          <w:bCs/>
          <w:b/>
        </w:rPr>
        <w:t xml:space="preserve">Stage 2: Upstream Inbound Transportation (Scope 3, Category 4):</w:t>
      </w:r>
      <w:r>
        <w:t xml:space="preserve"> </w:t>
      </w:r>
      <w:r>
        <w:t xml:space="preserve">Rail and Class 8 heavy-duty diesel freight of domestic polymers, pigments, and curatives within North America (average 650 km), plus maritime container shipment for Southeast Asian natural rubber (average 14,000 km ocean freight).</w:t>
      </w:r>
    </w:p>
    <w:p>
      <w:pPr>
        <w:numPr>
          <w:ilvl w:val="0"/>
          <w:numId w:val="1001"/>
        </w:numPr>
        <w:pStyle w:val="Compact"/>
      </w:pPr>
      <w:r>
        <w:rPr>
          <w:bCs/>
          <w:b/>
        </w:rPr>
        <w:t xml:space="preserve">Stage 3: Core Manufacturing &amp; Compounding (Scope 1 &amp; Scope 2):</w:t>
      </w:r>
      <w:r>
        <w:t xml:space="preserve"> </w:t>
      </w:r>
      <w:r>
        <w:t xml:space="preserve">Multi-stage Banbury internal mixing (high-shear mechanical dispersion), two-roll open mill sheeting, batch-off water mist cooling, anti-tack dipping, and pelletizing/slab stacking ready for shipping.</w:t>
      </w:r>
    </w:p>
    <w:p>
      <w:r>
        <w:pict>
          <v:rect style="width:0;height:1.5pt" o:hralign="center" o:hrstd="t" o:hr="t"/>
        </w:pict>
      </w:r>
    </w:p>
    <w:bookmarkEnd w:id="22"/>
    <w:bookmarkStart w:id="23" w:name="Xc7999a75f0c669f420a48914aba906d90191d2a"/>
    <w:p>
      <w:pPr>
        <w:pStyle w:val="Heading2"/>
      </w:pPr>
      <w:r>
        <w:t xml:space="preserve">Step 3: Collect Data (Primary &amp; Secondary Inventory Breakdown)</w:t>
      </w:r>
    </w:p>
    <w:p>
      <w:pPr>
        <w:pStyle w:val="FirstParagraph"/>
      </w:pPr>
      <w:r>
        <w:t xml:space="preserve">The bill of materials represents a standard technical high-performance elastomer compound (density ~1.18 g/cm³) utilized across industrial mechanical goods.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Input Stage</w:t>
            </w:r>
          </w:p>
        </w:tc>
        <w:tc>
          <w:tcPr/>
          <w:p>
            <w:pPr>
              <w:pStyle w:val="Compact"/>
              <w:jc w:val="left"/>
            </w:pPr>
            <w:r>
              <w:t xml:space="preserve">Classification</w:t>
            </w:r>
          </w:p>
        </w:tc>
        <w:tc>
          <w:tcPr/>
          <w:p>
            <w:pPr>
              <w:pStyle w:val="Compact"/>
              <w:jc w:val="left"/>
            </w:pPr>
            <w:r>
              <w:t xml:space="preserve">Quantity per kg</w:t>
            </w:r>
          </w:p>
        </w:tc>
        <w:tc>
          <w:tcPr/>
          <w:p>
            <w:pPr>
              <w:pStyle w:val="Compact"/>
              <w:jc w:val="left"/>
            </w:pPr>
            <w:r>
              <w:t xml:space="preserve">Data Source &amp; Type</w:t>
            </w:r>
          </w:p>
        </w:tc>
        <w:tc>
          <w:tcPr/>
          <w:p>
            <w:pPr>
              <w:pStyle w:val="Compact"/>
              <w:jc w:val="left"/>
            </w:pPr>
            <w:r>
              <w:t xml:space="preserve">Data Quality Rating (DQR)</w:t>
            </w:r>
          </w:p>
        </w:tc>
      </w:tr>
      <w:tr>
        <w:tc>
          <w:tcPr/>
          <w:p>
            <w:pPr>
              <w:pStyle w:val="Compact"/>
              <w:jc w:val="left"/>
            </w:pPr>
            <w:r>
              <w:t xml:space="preserve">Solution SBR (Synthetic Rubber)</w:t>
            </w:r>
          </w:p>
        </w:tc>
        <w:tc>
          <w:tcPr/>
          <w:p>
            <w:pPr>
              <w:pStyle w:val="Compact"/>
              <w:jc w:val="left"/>
            </w:pPr>
            <w:r>
              <w:t xml:space="preserve">Polymer Matrix</w:t>
            </w:r>
          </w:p>
        </w:tc>
        <w:tc>
          <w:tcPr/>
          <w:p>
            <w:pPr>
              <w:pStyle w:val="Compact"/>
              <w:jc w:val="left"/>
            </w:pPr>
            <w:r>
              <w:t xml:space="preserve">0.350 kg</w:t>
            </w:r>
          </w:p>
        </w:tc>
        <w:tc>
          <w:tcPr/>
          <w:p>
            <w:pPr>
              <w:pStyle w:val="Compact"/>
              <w:jc w:val="left"/>
            </w:pPr>
            <w:r>
              <w:t xml:space="preserve">Secondary (Ecoinvent 3.10 / US LCI)</w:t>
            </w:r>
          </w:p>
        </w:tc>
        <w:tc>
          <w:tcPr/>
          <w:p>
            <w:pPr>
              <w:pStyle w:val="Compact"/>
              <w:jc w:val="left"/>
            </w:pPr>
            <w:r>
              <w:t xml:space="preserve">Tier 1 (High Reliability)</w:t>
            </w:r>
          </w:p>
        </w:tc>
      </w:tr>
      <w:tr>
        <w:tc>
          <w:tcPr/>
          <w:p>
            <w:pPr>
              <w:pStyle w:val="Compact"/>
              <w:jc w:val="left"/>
            </w:pPr>
            <w:r>
              <w:t xml:space="preserve">Natural Rubber (TSR 20)</w:t>
            </w:r>
          </w:p>
        </w:tc>
        <w:tc>
          <w:tcPr/>
          <w:p>
            <w:pPr>
              <w:pStyle w:val="Compact"/>
              <w:jc w:val="left"/>
            </w:pPr>
            <w:r>
              <w:t xml:space="preserve">Biogenic Polymer Matrix</w:t>
            </w:r>
          </w:p>
        </w:tc>
        <w:tc>
          <w:tcPr/>
          <w:p>
            <w:pPr>
              <w:pStyle w:val="Compact"/>
              <w:jc w:val="left"/>
            </w:pPr>
            <w:r>
              <w:t xml:space="preserve">0.150 kg</w:t>
            </w:r>
          </w:p>
        </w:tc>
        <w:tc>
          <w:tcPr/>
          <w:p>
            <w:pPr>
              <w:pStyle w:val="Compact"/>
              <w:jc w:val="left"/>
            </w:pPr>
            <w:r>
              <w:t xml:space="preserve">Secondary (FAO/Ecoinvent 3.10 LSR)</w:t>
            </w:r>
          </w:p>
        </w:tc>
        <w:tc>
          <w:tcPr/>
          <w:p>
            <w:pPr>
              <w:pStyle w:val="Compact"/>
              <w:jc w:val="left"/>
            </w:pPr>
            <w:r>
              <w:t xml:space="preserve">Tier 1 (High Reliability)</w:t>
            </w:r>
          </w:p>
        </w:tc>
      </w:tr>
      <w:tr>
        <w:tc>
          <w:tcPr/>
          <w:p>
            <w:pPr>
              <w:pStyle w:val="Compact"/>
              <w:jc w:val="left"/>
            </w:pPr>
            <w:r>
              <w:t xml:space="preserve">Carbon Black (Furnace N330)</w:t>
            </w:r>
          </w:p>
        </w:tc>
        <w:tc>
          <w:tcPr/>
          <w:p>
            <w:pPr>
              <w:pStyle w:val="Compact"/>
              <w:jc w:val="left"/>
            </w:pPr>
            <w:r>
              <w:t xml:space="preserve">Reinforcing Filler</w:t>
            </w:r>
          </w:p>
        </w:tc>
        <w:tc>
          <w:tcPr/>
          <w:p>
            <w:pPr>
              <w:pStyle w:val="Compact"/>
              <w:jc w:val="left"/>
            </w:pPr>
            <w:r>
              <w:t xml:space="preserve">0.280 kg</w:t>
            </w:r>
          </w:p>
        </w:tc>
        <w:tc>
          <w:tcPr/>
          <w:p>
            <w:pPr>
              <w:pStyle w:val="Compact"/>
              <w:jc w:val="left"/>
            </w:pPr>
            <w:r>
              <w:t xml:space="preserve">Secondary (International Carbon Black Assoc.)</w:t>
            </w:r>
          </w:p>
        </w:tc>
        <w:tc>
          <w:tcPr/>
          <w:p>
            <w:pPr>
              <w:pStyle w:val="Compact"/>
              <w:jc w:val="left"/>
            </w:pPr>
            <w:r>
              <w:t xml:space="preserve">Tier 1 (High Reliability)</w:t>
            </w:r>
          </w:p>
        </w:tc>
      </w:tr>
      <w:tr>
        <w:tc>
          <w:tcPr/>
          <w:p>
            <w:pPr>
              <w:pStyle w:val="Compact"/>
              <w:jc w:val="left"/>
            </w:pPr>
            <w:r>
              <w:t xml:space="preserve">Precipitated Silica &amp; Silane Agent</w:t>
            </w:r>
          </w:p>
        </w:tc>
        <w:tc>
          <w:tcPr/>
          <w:p>
            <w:pPr>
              <w:pStyle w:val="Compact"/>
              <w:jc w:val="left"/>
            </w:pPr>
            <w:r>
              <w:t xml:space="preserve">Inorganic Filler / Coupler</w:t>
            </w:r>
          </w:p>
        </w:tc>
        <w:tc>
          <w:tcPr/>
          <w:p>
            <w:pPr>
              <w:pStyle w:val="Compact"/>
              <w:jc w:val="left"/>
            </w:pPr>
            <w:r>
              <w:t xml:space="preserve">0.080 kg</w:t>
            </w:r>
          </w:p>
        </w:tc>
        <w:tc>
          <w:tcPr/>
          <w:p>
            <w:pPr>
              <w:pStyle w:val="Compact"/>
              <w:jc w:val="left"/>
            </w:pPr>
            <w:r>
              <w:t xml:space="preserve">Secondary (Ecoinvent 3.10)</w:t>
            </w:r>
          </w:p>
        </w:tc>
        <w:tc>
          <w:tcPr/>
          <w:p>
            <w:pPr>
              <w:pStyle w:val="Compact"/>
              <w:jc w:val="left"/>
            </w:pPr>
            <w:r>
              <w:t xml:space="preserve">Tier 2 (Good Reliability)</w:t>
            </w:r>
          </w:p>
        </w:tc>
      </w:tr>
      <w:tr>
        <w:tc>
          <w:tcPr/>
          <w:p>
            <w:pPr>
              <w:pStyle w:val="Compact"/>
              <w:jc w:val="left"/>
            </w:pPr>
            <w:r>
              <w:t xml:space="preserve">TDAE Process Oil (Plasticizer)</w:t>
            </w:r>
          </w:p>
        </w:tc>
        <w:tc>
          <w:tcPr/>
          <w:p>
            <w:pPr>
              <w:pStyle w:val="Compact"/>
              <w:jc w:val="left"/>
            </w:pPr>
            <w:r>
              <w:t xml:space="preserve">Refined Hydrocarbon</w:t>
            </w:r>
          </w:p>
        </w:tc>
        <w:tc>
          <w:tcPr/>
          <w:p>
            <w:pPr>
              <w:pStyle w:val="Compact"/>
              <w:jc w:val="left"/>
            </w:pPr>
            <w:r>
              <w:t xml:space="preserve">0.060 kg</w:t>
            </w:r>
          </w:p>
        </w:tc>
        <w:tc>
          <w:tcPr/>
          <w:p>
            <w:pPr>
              <w:pStyle w:val="Compact"/>
              <w:jc w:val="left"/>
            </w:pPr>
            <w:r>
              <w:t xml:space="preserve">Secondary (CONCAWE / Ecoinvent)</w:t>
            </w:r>
          </w:p>
        </w:tc>
        <w:tc>
          <w:tcPr/>
          <w:p>
            <w:pPr>
              <w:pStyle w:val="Compact"/>
              <w:jc w:val="left"/>
            </w:pPr>
            <w:r>
              <w:t xml:space="preserve">Tier 2 (Good Reliability)</w:t>
            </w:r>
          </w:p>
        </w:tc>
      </w:tr>
      <w:tr>
        <w:tc>
          <w:tcPr/>
          <w:p>
            <w:pPr>
              <w:pStyle w:val="Compact"/>
              <w:jc w:val="left"/>
            </w:pPr>
            <w:r>
              <w:t xml:space="preserve">Active Zinc Oxide (ZnO 99.5%)</w:t>
            </w:r>
          </w:p>
        </w:tc>
        <w:tc>
          <w:tcPr/>
          <w:p>
            <w:pPr>
              <w:pStyle w:val="Compact"/>
              <w:jc w:val="left"/>
            </w:pPr>
            <w:r>
              <w:t xml:space="preserve">Activator</w:t>
            </w:r>
          </w:p>
        </w:tc>
        <w:tc>
          <w:tcPr/>
          <w:p>
            <w:pPr>
              <w:pStyle w:val="Compact"/>
              <w:jc w:val="left"/>
            </w:pPr>
            <w:r>
              <w:t xml:space="preserve">0.025 kg</w:t>
            </w:r>
          </w:p>
        </w:tc>
        <w:tc>
          <w:tcPr/>
          <w:p>
            <w:pPr>
              <w:pStyle w:val="Compact"/>
              <w:jc w:val="left"/>
            </w:pPr>
            <w:r>
              <w:t xml:space="preserve">Secondary (International Zinc Assoc.)</w:t>
            </w:r>
          </w:p>
        </w:tc>
        <w:tc>
          <w:tcPr/>
          <w:p>
            <w:pPr>
              <w:pStyle w:val="Compact"/>
              <w:jc w:val="left"/>
            </w:pPr>
            <w:r>
              <w:t xml:space="preserve">Tier 1 (High Reliability)</w:t>
            </w:r>
          </w:p>
        </w:tc>
      </w:tr>
      <w:tr>
        <w:tc>
          <w:tcPr/>
          <w:p>
            <w:pPr>
              <w:pStyle w:val="Compact"/>
              <w:jc w:val="left"/>
            </w:pPr>
            <w:r>
              <w:t xml:space="preserve">Stearic Acid (Vegetable Derived)</w:t>
            </w:r>
          </w:p>
        </w:tc>
        <w:tc>
          <w:tcPr/>
          <w:p>
            <w:pPr>
              <w:pStyle w:val="Compact"/>
              <w:jc w:val="left"/>
            </w:pPr>
            <w:r>
              <w:t xml:space="preserve">Co-Activator</w:t>
            </w:r>
          </w:p>
        </w:tc>
        <w:tc>
          <w:tcPr/>
          <w:p>
            <w:pPr>
              <w:pStyle w:val="Compact"/>
              <w:jc w:val="left"/>
            </w:pPr>
            <w:r>
              <w:t xml:space="preserve">0.015 kg</w:t>
            </w:r>
          </w:p>
        </w:tc>
        <w:tc>
          <w:tcPr/>
          <w:p>
            <w:pPr>
              <w:pStyle w:val="Compact"/>
              <w:jc w:val="left"/>
            </w:pPr>
            <w:r>
              <w:t xml:space="preserve">Secondary (USDA Bioproduct Inventory)</w:t>
            </w:r>
          </w:p>
        </w:tc>
        <w:tc>
          <w:tcPr/>
          <w:p>
            <w:pPr>
              <w:pStyle w:val="Compact"/>
              <w:jc w:val="left"/>
            </w:pPr>
            <w:r>
              <w:t xml:space="preserve">Tier 2 (Good Reliability)</w:t>
            </w:r>
          </w:p>
        </w:tc>
      </w:tr>
      <w:tr>
        <w:tc>
          <w:tcPr/>
          <w:p>
            <w:pPr>
              <w:pStyle w:val="Compact"/>
              <w:jc w:val="left"/>
            </w:pPr>
            <w:r>
              <w:t xml:space="preserve">Insoluble Sulfur &amp; Accelerators (CBS/DPG)</w:t>
            </w:r>
          </w:p>
        </w:tc>
        <w:tc>
          <w:tcPr/>
          <w:p>
            <w:pPr>
              <w:pStyle w:val="Compact"/>
              <w:jc w:val="left"/>
            </w:pPr>
            <w:r>
              <w:t xml:space="preserve">Vulcanization Package</w:t>
            </w:r>
          </w:p>
        </w:tc>
        <w:tc>
          <w:tcPr/>
          <w:p>
            <w:pPr>
              <w:pStyle w:val="Compact"/>
              <w:jc w:val="left"/>
            </w:pPr>
            <w:r>
              <w:t xml:space="preserve">0.030 kg</w:t>
            </w:r>
          </w:p>
        </w:tc>
        <w:tc>
          <w:tcPr/>
          <w:p>
            <w:pPr>
              <w:pStyle w:val="Compact"/>
              <w:jc w:val="left"/>
            </w:pPr>
            <w:r>
              <w:t xml:space="preserve">Secondary (European Chemical Agency / DEFRA)</w:t>
            </w:r>
          </w:p>
        </w:tc>
        <w:tc>
          <w:tcPr/>
          <w:p>
            <w:pPr>
              <w:pStyle w:val="Compact"/>
              <w:jc w:val="left"/>
            </w:pPr>
            <w:r>
              <w:t xml:space="preserve">Tier 2 (Good Reliability)</w:t>
            </w:r>
          </w:p>
        </w:tc>
      </w:tr>
      <w:tr>
        <w:tc>
          <w:tcPr/>
          <w:p>
            <w:pPr>
              <w:pStyle w:val="Compact"/>
              <w:jc w:val="left"/>
            </w:pPr>
            <w:r>
              <w:t xml:space="preserve">Electricity (US Grid Subregion Average)</w:t>
            </w:r>
          </w:p>
        </w:tc>
        <w:tc>
          <w:tcPr/>
          <w:p>
            <w:pPr>
              <w:pStyle w:val="Compact"/>
              <w:jc w:val="left"/>
            </w:pPr>
            <w:r>
              <w:t xml:space="preserve">Mixing &amp; Mechanical Drive</w:t>
            </w:r>
          </w:p>
        </w:tc>
        <w:tc>
          <w:tcPr/>
          <w:p>
            <w:pPr>
              <w:pStyle w:val="Compact"/>
              <w:jc w:val="left"/>
            </w:pPr>
            <w:r>
              <w:t xml:space="preserve">0.485 kWh</w:t>
            </w:r>
          </w:p>
        </w:tc>
        <w:tc>
          <w:tcPr/>
          <w:p>
            <w:pPr>
              <w:pStyle w:val="Compact"/>
              <w:jc w:val="left"/>
            </w:pPr>
            <w:r>
              <w:t xml:space="preserve">Primary facility metering (US eGRID 2026)</w:t>
            </w:r>
          </w:p>
        </w:tc>
        <w:tc>
          <w:tcPr/>
          <w:p>
            <w:pPr>
              <w:pStyle w:val="Compact"/>
              <w:jc w:val="left"/>
            </w:pPr>
            <w:r>
              <w:t xml:space="preserve">Tier 1 (Primary Measured)</w:t>
            </w:r>
          </w:p>
        </w:tc>
      </w:tr>
      <w:tr>
        <w:tc>
          <w:tcPr/>
          <w:p>
            <w:pPr>
              <w:pStyle w:val="Compact"/>
              <w:jc w:val="left"/>
            </w:pPr>
            <w:r>
              <w:t xml:space="preserve">Natural Gas (Boiler Steam &amp; HVAC)</w:t>
            </w:r>
          </w:p>
        </w:tc>
        <w:tc>
          <w:tcPr/>
          <w:p>
            <w:pPr>
              <w:pStyle w:val="Compact"/>
              <w:jc w:val="left"/>
            </w:pPr>
            <w:r>
              <w:t xml:space="preserve">Thermal Conditioning</w:t>
            </w:r>
          </w:p>
        </w:tc>
        <w:tc>
          <w:tcPr/>
          <w:p>
            <w:pPr>
              <w:pStyle w:val="Compact"/>
              <w:jc w:val="left"/>
            </w:pPr>
            <w:r>
              <w:t xml:space="preserve">0.016 m³ (0.612 MJ)</w:t>
            </w:r>
          </w:p>
        </w:tc>
        <w:tc>
          <w:tcPr/>
          <w:p>
            <w:pPr>
              <w:pStyle w:val="Compact"/>
              <w:jc w:val="left"/>
            </w:pPr>
            <w:r>
              <w:t xml:space="preserve">Primary facility metering (US EIA)</w:t>
            </w:r>
          </w:p>
        </w:tc>
        <w:tc>
          <w:tcPr/>
          <w:p>
            <w:pPr>
              <w:pStyle w:val="Compact"/>
              <w:jc w:val="left"/>
            </w:pPr>
            <w:r>
              <w:t xml:space="preserve">Tier 1 (Primary Measured)</w:t>
            </w:r>
          </w:p>
        </w:tc>
      </w:tr>
      <w:tr>
        <w:tc>
          <w:tcPr/>
          <w:p>
            <w:pPr>
              <w:pStyle w:val="Compact"/>
              <w:jc w:val="left"/>
            </w:pPr>
            <w:r>
              <w:t xml:space="preserve">Process Water &amp; Anti-Tack Dip</w:t>
            </w:r>
          </w:p>
        </w:tc>
        <w:tc>
          <w:tcPr/>
          <w:p>
            <w:pPr>
              <w:pStyle w:val="Compact"/>
              <w:jc w:val="left"/>
            </w:pPr>
            <w:r>
              <w:t xml:space="preserve">Ancillary Agent</w:t>
            </w:r>
          </w:p>
        </w:tc>
        <w:tc>
          <w:tcPr/>
          <w:p>
            <w:pPr>
              <w:pStyle w:val="Compact"/>
              <w:jc w:val="left"/>
            </w:pPr>
            <w:r>
              <w:t xml:space="preserve">0.040 kg</w:t>
            </w:r>
          </w:p>
        </w:tc>
        <w:tc>
          <w:tcPr/>
          <w:p>
            <w:pPr>
              <w:pStyle w:val="Compact"/>
              <w:jc w:val="left"/>
            </w:pPr>
            <w:r>
              <w:t xml:space="preserve">Secondary (US LCI)</w:t>
            </w:r>
          </w:p>
        </w:tc>
        <w:tc>
          <w:tcPr/>
          <w:p>
            <w:pPr>
              <w:pStyle w:val="Compact"/>
              <w:jc w:val="left"/>
            </w:pPr>
            <w:r>
              <w:t xml:space="preserve">Tier 2 (Good Reliability)</w:t>
            </w:r>
          </w:p>
        </w:tc>
      </w:tr>
    </w:tbl>
    <w:p>
      <w:r>
        <w:pict>
          <v:rect style="width:0;height:1.5pt" o:hralign="center" o:hrstd="t" o:hr="t"/>
        </w:pict>
      </w:r>
    </w:p>
    <w:bookmarkEnd w:id="23"/>
    <w:bookmarkStart w:id="25" w:name="Xa991e7faf76bdf88064e0090ec77f0e137174e3"/>
    <w:p>
      <w:pPr>
        <w:pStyle w:val="Heading2"/>
      </w:pPr>
      <w:r>
        <w:t xml:space="preserve">Step 4: Calculate Emissions (Activity × Emission Factor = CO</w:t>
      </w:r>
      <w:r>
        <w:rPr>
          <w:vertAlign w:val="subscript"/>
        </w:rPr>
        <w:t xml:space="preserve">2</w:t>
      </w:r>
      <w:r>
        <w:t xml:space="preserve">e)</w:t>
      </w:r>
    </w:p>
    <w:p>
      <w:pPr>
        <w:pStyle w:val="FirstParagraph"/>
      </w:pPr>
      <w:r>
        <w:t xml:space="preserve">Emission calculations apply the latest global warming potentials (GWP-100) from the IPCC Sixth Assessment Report (AR6). Emissions are partitioned into Scope 1, Scope 2, and Scope 3 according to the GHG Protocol.</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Lifecycle Stage &amp; Inventory Item</w:t>
            </w:r>
          </w:p>
        </w:tc>
        <w:tc>
          <w:tcPr/>
          <w:p>
            <w:pPr>
              <w:pStyle w:val="Compact"/>
              <w:jc w:val="left"/>
            </w:pPr>
            <w:r>
              <w:t xml:space="preserve">Scope</w:t>
            </w:r>
          </w:p>
        </w:tc>
        <w:tc>
          <w:tcPr/>
          <w:p>
            <w:pPr>
              <w:pStyle w:val="Compact"/>
              <w:jc w:val="left"/>
            </w:pPr>
            <w:r>
              <w:t xml:space="preserve">Activity Data</w:t>
            </w:r>
          </w:p>
        </w:tc>
        <w:tc>
          <w:tcPr/>
          <w:p>
            <w:pPr>
              <w:pStyle w:val="Compact"/>
              <w:jc w:val="left"/>
            </w:pPr>
            <w:r>
              <w:t xml:space="preserve">Emission Factor (EF)</w:t>
            </w:r>
          </w:p>
        </w:tc>
        <w:tc>
          <w:tcPr/>
          <w:p>
            <w:pPr>
              <w:pStyle w:val="Compact"/>
              <w:jc w:val="left"/>
            </w:pPr>
            <w:r>
              <w:t xml:space="preserve">Factor Reference</w:t>
            </w:r>
          </w:p>
        </w:tc>
        <w:tc>
          <w:tcPr/>
          <w:p>
            <w:pPr>
              <w:pStyle w:val="Compact"/>
              <w:jc w:val="left"/>
            </w:pPr>
            <w:r>
              <w:t xml:space="preserve">Total (kg CO</w:t>
            </w:r>
            <w:r>
              <w:rPr>
                <w:vertAlign w:val="subscript"/>
              </w:rPr>
              <w:t xml:space="preserve">2</w:t>
            </w:r>
            <w:r>
              <w:t xml:space="preserve">e)</w:t>
            </w:r>
          </w:p>
        </w:tc>
        <w:tc>
          <w:tcPr/>
          <w:p>
            <w:pPr>
              <w:pStyle w:val="Compact"/>
              <w:jc w:val="left"/>
            </w:pPr>
            <w:r>
              <w:t xml:space="preserve">% Share</w:t>
            </w:r>
          </w:p>
        </w:tc>
      </w:tr>
      <w:tr>
        <w:tc>
          <w:tcPr/>
          <w:p>
            <w:pPr>
              <w:pStyle w:val="Compact"/>
              <w:jc w:val="left"/>
            </w:pPr>
            <w:r>
              <w:rPr>
                <w:bCs/>
                <w:b/>
              </w:rPr>
              <w:t xml:space="preserve">Solution SBR (Synthetic Rubber)</w:t>
            </w:r>
          </w:p>
        </w:tc>
        <w:tc>
          <w:tcPr/>
          <w:p>
            <w:pPr>
              <w:pStyle w:val="Compact"/>
              <w:jc w:val="left"/>
            </w:pPr>
            <w:r>
              <w:t xml:space="preserve">Scope 3 (Cat 1)</w:t>
            </w:r>
          </w:p>
        </w:tc>
        <w:tc>
          <w:tcPr/>
          <w:p>
            <w:pPr>
              <w:pStyle w:val="Compact"/>
              <w:jc w:val="left"/>
            </w:pPr>
            <w:r>
              <w:t xml:space="preserve">0.350 kg</w:t>
            </w:r>
          </w:p>
        </w:tc>
        <w:tc>
          <w:tcPr/>
          <w:p>
            <w:pPr>
              <w:pStyle w:val="Compact"/>
              <w:jc w:val="left"/>
            </w:pPr>
            <w:r>
              <w:t xml:space="preserve">3.240 kg CO</w:t>
            </w:r>
            <w:r>
              <w:rPr>
                <w:vertAlign w:val="subscript"/>
              </w:rPr>
              <w:t xml:space="preserve">2</w:t>
            </w:r>
            <w:r>
              <w:t xml:space="preserve">e / kg</w:t>
            </w:r>
          </w:p>
        </w:tc>
        <w:tc>
          <w:tcPr/>
          <w:p>
            <w:pPr>
              <w:pStyle w:val="Compact"/>
              <w:jc w:val="left"/>
            </w:pPr>
            <w:r>
              <w:t xml:space="preserve">Ecoinvent 3.10 / US-LCI</w:t>
            </w:r>
          </w:p>
        </w:tc>
        <w:tc>
          <w:tcPr/>
          <w:p>
            <w:pPr>
              <w:pStyle w:val="Compact"/>
              <w:jc w:val="left"/>
            </w:pPr>
            <w:r>
              <w:t xml:space="preserve">1.1340</w:t>
            </w:r>
          </w:p>
        </w:tc>
        <w:tc>
          <w:tcPr/>
          <w:p>
            <w:pPr>
              <w:pStyle w:val="Compact"/>
              <w:jc w:val="left"/>
            </w:pPr>
            <w:r>
              <w:t xml:space="preserve">37.22%</w:t>
            </w:r>
          </w:p>
        </w:tc>
      </w:tr>
      <w:tr>
        <w:tc>
          <w:tcPr/>
          <w:p>
            <w:pPr>
              <w:pStyle w:val="Compact"/>
              <w:jc w:val="left"/>
            </w:pPr>
            <w:r>
              <w:rPr>
                <w:bCs/>
                <w:b/>
              </w:rPr>
              <w:t xml:space="preserve">Natural Rubber (TSR 20, Gross Fossil/LUC)</w:t>
            </w:r>
          </w:p>
        </w:tc>
        <w:tc>
          <w:tcPr/>
          <w:p>
            <w:pPr>
              <w:pStyle w:val="Compact"/>
              <w:jc w:val="left"/>
            </w:pPr>
            <w:r>
              <w:t xml:space="preserve">Scope 3 (Cat 1)</w:t>
            </w:r>
          </w:p>
        </w:tc>
        <w:tc>
          <w:tcPr/>
          <w:p>
            <w:pPr>
              <w:pStyle w:val="Compact"/>
              <w:jc w:val="left"/>
            </w:pPr>
            <w:r>
              <w:t xml:space="preserve">0.150 kg</w:t>
            </w:r>
          </w:p>
        </w:tc>
        <w:tc>
          <w:tcPr/>
          <w:p>
            <w:pPr>
              <w:pStyle w:val="Compact"/>
              <w:jc w:val="left"/>
            </w:pPr>
            <w:r>
              <w:t xml:space="preserve">1.820 kg CO</w:t>
            </w:r>
            <w:r>
              <w:rPr>
                <w:vertAlign w:val="subscript"/>
              </w:rPr>
              <w:t xml:space="preserve">2</w:t>
            </w:r>
            <w:r>
              <w:t xml:space="preserve">e / kg</w:t>
            </w:r>
          </w:p>
        </w:tc>
        <w:tc>
          <w:tcPr/>
          <w:p>
            <w:pPr>
              <w:pStyle w:val="Compact"/>
              <w:jc w:val="left"/>
            </w:pPr>
            <w:r>
              <w:t xml:space="preserve">GHG LSR / Agro-LCA 2026</w:t>
            </w:r>
          </w:p>
        </w:tc>
        <w:tc>
          <w:tcPr/>
          <w:p>
            <w:pPr>
              <w:pStyle w:val="Compact"/>
              <w:jc w:val="left"/>
            </w:pPr>
            <w:r>
              <w:t xml:space="preserve">0.2730</w:t>
            </w:r>
          </w:p>
        </w:tc>
        <w:tc>
          <w:tcPr/>
          <w:p>
            <w:pPr>
              <w:pStyle w:val="Compact"/>
              <w:jc w:val="left"/>
            </w:pPr>
            <w:r>
              <w:t xml:space="preserve">8.96%</w:t>
            </w:r>
          </w:p>
        </w:tc>
      </w:tr>
      <w:tr>
        <w:tc>
          <w:tcPr/>
          <w:p>
            <w:pPr>
              <w:pStyle w:val="Compact"/>
              <w:jc w:val="left"/>
            </w:pPr>
            <w:r>
              <w:rPr>
                <w:bCs/>
                <w:b/>
              </w:rPr>
              <w:t xml:space="preserve">Furnace Carbon Black (N330)</w:t>
            </w:r>
          </w:p>
        </w:tc>
        <w:tc>
          <w:tcPr/>
          <w:p>
            <w:pPr>
              <w:pStyle w:val="Compact"/>
              <w:jc w:val="left"/>
            </w:pPr>
            <w:r>
              <w:t xml:space="preserve">Scope 3 (Cat 1)</w:t>
            </w:r>
          </w:p>
        </w:tc>
        <w:tc>
          <w:tcPr/>
          <w:p>
            <w:pPr>
              <w:pStyle w:val="Compact"/>
              <w:jc w:val="left"/>
            </w:pPr>
            <w:r>
              <w:t xml:space="preserve">0.280 kg</w:t>
            </w:r>
          </w:p>
        </w:tc>
        <w:tc>
          <w:tcPr/>
          <w:p>
            <w:pPr>
              <w:pStyle w:val="Compact"/>
              <w:jc w:val="left"/>
            </w:pPr>
            <w:r>
              <w:t xml:space="preserve">2.650 kg CO</w:t>
            </w:r>
            <w:r>
              <w:rPr>
                <w:vertAlign w:val="subscript"/>
              </w:rPr>
              <w:t xml:space="preserve">2</w:t>
            </w:r>
            <w:r>
              <w:t xml:space="preserve">e / kg</w:t>
            </w:r>
          </w:p>
        </w:tc>
        <w:tc>
          <w:tcPr/>
          <w:p>
            <w:pPr>
              <w:pStyle w:val="Compact"/>
              <w:jc w:val="left"/>
            </w:pPr>
            <w:r>
              <w:t xml:space="preserve">ICBA / DEFRA 2025</w:t>
            </w:r>
          </w:p>
        </w:tc>
        <w:tc>
          <w:tcPr/>
          <w:p>
            <w:pPr>
              <w:pStyle w:val="Compact"/>
              <w:jc w:val="left"/>
            </w:pPr>
            <w:r>
              <w:t xml:space="preserve">0.7420</w:t>
            </w:r>
          </w:p>
        </w:tc>
        <w:tc>
          <w:tcPr/>
          <w:p>
            <w:pPr>
              <w:pStyle w:val="Compact"/>
              <w:jc w:val="left"/>
            </w:pPr>
            <w:r>
              <w:t xml:space="preserve">24.35%</w:t>
            </w:r>
          </w:p>
        </w:tc>
      </w:tr>
      <w:tr>
        <w:tc>
          <w:tcPr/>
          <w:p>
            <w:pPr>
              <w:pStyle w:val="Compact"/>
              <w:jc w:val="left"/>
            </w:pPr>
            <w:r>
              <w:rPr>
                <w:bCs/>
                <w:b/>
              </w:rPr>
              <w:t xml:space="preserve">Precipitated Silica &amp; Coupling Agents</w:t>
            </w:r>
          </w:p>
        </w:tc>
        <w:tc>
          <w:tcPr/>
          <w:p>
            <w:pPr>
              <w:pStyle w:val="Compact"/>
              <w:jc w:val="left"/>
            </w:pPr>
            <w:r>
              <w:t xml:space="preserve">Scope 3 (Cat 1)</w:t>
            </w:r>
          </w:p>
        </w:tc>
        <w:tc>
          <w:tcPr/>
          <w:p>
            <w:pPr>
              <w:pStyle w:val="Compact"/>
              <w:jc w:val="left"/>
            </w:pPr>
            <w:r>
              <w:t xml:space="preserve">0.080 kg</w:t>
            </w:r>
          </w:p>
        </w:tc>
        <w:tc>
          <w:tcPr/>
          <w:p>
            <w:pPr>
              <w:pStyle w:val="Compact"/>
              <w:jc w:val="left"/>
            </w:pPr>
            <w:r>
              <w:t xml:space="preserve">2.050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0.1640</w:t>
            </w:r>
          </w:p>
        </w:tc>
        <w:tc>
          <w:tcPr/>
          <w:p>
            <w:pPr>
              <w:pStyle w:val="Compact"/>
              <w:jc w:val="left"/>
            </w:pPr>
            <w:r>
              <w:t xml:space="preserve">5.38%</w:t>
            </w:r>
          </w:p>
        </w:tc>
      </w:tr>
      <w:tr>
        <w:tc>
          <w:tcPr/>
          <w:p>
            <w:pPr>
              <w:pStyle w:val="Compact"/>
              <w:jc w:val="left"/>
            </w:pPr>
            <w:r>
              <w:rPr>
                <w:bCs/>
                <w:b/>
              </w:rPr>
              <w:t xml:space="preserve">TDAE Plasticizing Process Oil</w:t>
            </w:r>
          </w:p>
        </w:tc>
        <w:tc>
          <w:tcPr/>
          <w:p>
            <w:pPr>
              <w:pStyle w:val="Compact"/>
              <w:jc w:val="left"/>
            </w:pPr>
            <w:r>
              <w:t xml:space="preserve">Scope 3 (Cat 1)</w:t>
            </w:r>
          </w:p>
        </w:tc>
        <w:tc>
          <w:tcPr/>
          <w:p>
            <w:pPr>
              <w:pStyle w:val="Compact"/>
              <w:jc w:val="left"/>
            </w:pPr>
            <w:r>
              <w:t xml:space="preserve">0.060 kg</w:t>
            </w:r>
          </w:p>
        </w:tc>
        <w:tc>
          <w:tcPr/>
          <w:p>
            <w:pPr>
              <w:pStyle w:val="Compact"/>
              <w:jc w:val="left"/>
            </w:pPr>
            <w:r>
              <w:t xml:space="preserve">1.450 kg CO</w:t>
            </w:r>
            <w:r>
              <w:rPr>
                <w:vertAlign w:val="subscript"/>
              </w:rPr>
              <w:t xml:space="preserve">2</w:t>
            </w:r>
            <w:r>
              <w:t xml:space="preserve">e / kg</w:t>
            </w:r>
          </w:p>
        </w:tc>
        <w:tc>
          <w:tcPr/>
          <w:p>
            <w:pPr>
              <w:pStyle w:val="Compact"/>
              <w:jc w:val="left"/>
            </w:pPr>
            <w:r>
              <w:t xml:space="preserve">CONCAWE / Ecoinvent</w:t>
            </w:r>
          </w:p>
        </w:tc>
        <w:tc>
          <w:tcPr/>
          <w:p>
            <w:pPr>
              <w:pStyle w:val="Compact"/>
              <w:jc w:val="left"/>
            </w:pPr>
            <w:r>
              <w:t xml:space="preserve">0.0870</w:t>
            </w:r>
          </w:p>
        </w:tc>
        <w:tc>
          <w:tcPr/>
          <w:p>
            <w:pPr>
              <w:pStyle w:val="Compact"/>
              <w:jc w:val="left"/>
            </w:pPr>
            <w:r>
              <w:t xml:space="preserve">2.86%</w:t>
            </w:r>
          </w:p>
        </w:tc>
      </w:tr>
      <w:tr>
        <w:tc>
          <w:tcPr/>
          <w:p>
            <w:pPr>
              <w:pStyle w:val="Compact"/>
              <w:jc w:val="left"/>
            </w:pPr>
            <w:r>
              <w:rPr>
                <w:bCs/>
                <w:b/>
              </w:rPr>
              <w:t xml:space="preserve">Zinc Oxide (99.5% Active)</w:t>
            </w:r>
          </w:p>
        </w:tc>
        <w:tc>
          <w:tcPr/>
          <w:p>
            <w:pPr>
              <w:pStyle w:val="Compact"/>
              <w:jc w:val="left"/>
            </w:pPr>
            <w:r>
              <w:t xml:space="preserve">Scope 3 (Cat 1)</w:t>
            </w:r>
          </w:p>
        </w:tc>
        <w:tc>
          <w:tcPr/>
          <w:p>
            <w:pPr>
              <w:pStyle w:val="Compact"/>
              <w:jc w:val="left"/>
            </w:pPr>
            <w:r>
              <w:t xml:space="preserve">0.025 kg</w:t>
            </w:r>
          </w:p>
        </w:tc>
        <w:tc>
          <w:tcPr/>
          <w:p>
            <w:pPr>
              <w:pStyle w:val="Compact"/>
              <w:jc w:val="left"/>
            </w:pPr>
            <w:r>
              <w:t xml:space="preserve">3.120 kg CO</w:t>
            </w:r>
            <w:r>
              <w:rPr>
                <w:vertAlign w:val="subscript"/>
              </w:rPr>
              <w:t xml:space="preserve">2</w:t>
            </w:r>
            <w:r>
              <w:t xml:space="preserve">e / kg</w:t>
            </w:r>
          </w:p>
        </w:tc>
        <w:tc>
          <w:tcPr/>
          <w:p>
            <w:pPr>
              <w:pStyle w:val="Compact"/>
              <w:jc w:val="left"/>
            </w:pPr>
            <w:r>
              <w:t xml:space="preserve">IZA / Sphera Database</w:t>
            </w:r>
          </w:p>
        </w:tc>
        <w:tc>
          <w:tcPr/>
          <w:p>
            <w:pPr>
              <w:pStyle w:val="Compact"/>
              <w:jc w:val="left"/>
            </w:pPr>
            <w:r>
              <w:t xml:space="preserve">0.0780</w:t>
            </w:r>
          </w:p>
        </w:tc>
        <w:tc>
          <w:tcPr/>
          <w:p>
            <w:pPr>
              <w:pStyle w:val="Compact"/>
              <w:jc w:val="left"/>
            </w:pPr>
            <w:r>
              <w:t xml:space="preserve">2.56%</w:t>
            </w:r>
          </w:p>
        </w:tc>
      </w:tr>
      <w:tr>
        <w:tc>
          <w:tcPr/>
          <w:p>
            <w:pPr>
              <w:pStyle w:val="Compact"/>
              <w:jc w:val="left"/>
            </w:pPr>
            <w:r>
              <w:rPr>
                <w:bCs/>
                <w:b/>
              </w:rPr>
              <w:t xml:space="preserve">Stearic Acid &amp; Ancillary Curatives</w:t>
            </w:r>
          </w:p>
        </w:tc>
        <w:tc>
          <w:tcPr/>
          <w:p>
            <w:pPr>
              <w:pStyle w:val="Compact"/>
              <w:jc w:val="left"/>
            </w:pPr>
            <w:r>
              <w:t xml:space="preserve">Scope 3 (Cat 1)</w:t>
            </w:r>
          </w:p>
        </w:tc>
        <w:tc>
          <w:tcPr/>
          <w:p>
            <w:pPr>
              <w:pStyle w:val="Compact"/>
              <w:jc w:val="left"/>
            </w:pPr>
            <w:r>
              <w:t xml:space="preserve">0.045 kg</w:t>
            </w:r>
          </w:p>
        </w:tc>
        <w:tc>
          <w:tcPr/>
          <w:p>
            <w:pPr>
              <w:pStyle w:val="Compact"/>
              <w:jc w:val="left"/>
            </w:pPr>
            <w:r>
              <w:t xml:space="preserve">3.850 kg CO</w:t>
            </w:r>
            <w:r>
              <w:rPr>
                <w:vertAlign w:val="subscript"/>
              </w:rPr>
              <w:t xml:space="preserve">2</w:t>
            </w:r>
            <w:r>
              <w:t xml:space="preserve">e / kg</w:t>
            </w:r>
          </w:p>
        </w:tc>
        <w:tc>
          <w:tcPr/>
          <w:p>
            <w:pPr>
              <w:pStyle w:val="Compact"/>
              <w:jc w:val="left"/>
            </w:pPr>
            <w:r>
              <w:t xml:space="preserve">Ecoinvent / ECHA</w:t>
            </w:r>
          </w:p>
        </w:tc>
        <w:tc>
          <w:tcPr/>
          <w:p>
            <w:pPr>
              <w:pStyle w:val="Compact"/>
              <w:jc w:val="left"/>
            </w:pPr>
            <w:r>
              <w:t xml:space="preserve">0.1733</w:t>
            </w:r>
          </w:p>
        </w:tc>
        <w:tc>
          <w:tcPr/>
          <w:p>
            <w:pPr>
              <w:pStyle w:val="Compact"/>
              <w:jc w:val="left"/>
            </w:pPr>
            <w:r>
              <w:t xml:space="preserve">5.69%</w:t>
            </w:r>
          </w:p>
        </w:tc>
      </w:tr>
      <w:tr>
        <w:tc>
          <w:tcPr/>
          <w:p>
            <w:pPr>
              <w:pStyle w:val="Compact"/>
              <w:jc w:val="left"/>
            </w:pPr>
            <w:r>
              <w:rPr>
                <w:bCs/>
                <w:b/>
              </w:rPr>
              <w:t xml:space="preserve">Inbound Freight (Truck &amp; Maritime)</w:t>
            </w:r>
          </w:p>
        </w:tc>
        <w:tc>
          <w:tcPr/>
          <w:p>
            <w:pPr>
              <w:pStyle w:val="Compact"/>
              <w:jc w:val="left"/>
            </w:pPr>
            <w:r>
              <w:t xml:space="preserve">Scope 3 (Cat 4)</w:t>
            </w:r>
          </w:p>
        </w:tc>
        <w:tc>
          <w:tcPr/>
          <w:p>
            <w:pPr>
              <w:pStyle w:val="Compact"/>
              <w:jc w:val="left"/>
            </w:pPr>
            <w:r>
              <w:t xml:space="preserve">0.585 tkm</w:t>
            </w:r>
          </w:p>
        </w:tc>
        <w:tc>
          <w:tcPr/>
          <w:p>
            <w:pPr>
              <w:pStyle w:val="Compact"/>
              <w:jc w:val="left"/>
            </w:pPr>
            <w:r>
              <w:t xml:space="preserve">0.212 kg CO</w:t>
            </w:r>
            <w:r>
              <w:rPr>
                <w:vertAlign w:val="subscript"/>
              </w:rPr>
              <w:t xml:space="preserve">2</w:t>
            </w:r>
            <w:r>
              <w:t xml:space="preserve">e / tkm</w:t>
            </w:r>
          </w:p>
        </w:tc>
        <w:tc>
          <w:tcPr/>
          <w:p>
            <w:pPr>
              <w:pStyle w:val="Compact"/>
              <w:jc w:val="left"/>
            </w:pPr>
            <w:r>
              <w:t xml:space="preserve">SmartWay / GLEC v3</w:t>
            </w:r>
          </w:p>
        </w:tc>
        <w:tc>
          <w:tcPr/>
          <w:p>
            <w:pPr>
              <w:pStyle w:val="Compact"/>
              <w:jc w:val="left"/>
            </w:pPr>
            <w:r>
              <w:t xml:space="preserve">0.1240</w:t>
            </w:r>
          </w:p>
        </w:tc>
        <w:tc>
          <w:tcPr/>
          <w:p>
            <w:pPr>
              <w:pStyle w:val="Compact"/>
              <w:jc w:val="left"/>
            </w:pPr>
            <w:r>
              <w:t xml:space="preserve">4.07%</w:t>
            </w:r>
          </w:p>
        </w:tc>
      </w:tr>
      <w:tr>
        <w:tc>
          <w:tcPr>
            <w:gridSpan w:val="5"/>
          </w:tcPr>
          <w:p>
            <w:pPr>
              <w:pStyle w:val="Compact"/>
              <w:jc w:val="left"/>
            </w:pPr>
            <w:r>
              <w:t xml:space="preserve">Subtotal Scope 3 (Upstream Supply Chain)</w:t>
            </w:r>
          </w:p>
        </w:tc>
        <w:tc>
          <w:tcPr/>
          <w:p>
            <w:pPr>
              <w:pStyle w:val="Compact"/>
              <w:jc w:val="left"/>
            </w:pPr>
            <w:r>
              <w:t xml:space="preserve">2.7753</w:t>
            </w:r>
          </w:p>
        </w:tc>
        <w:tc>
          <w:tcPr/>
          <w:p>
            <w:pPr>
              <w:pStyle w:val="Compact"/>
              <w:jc w:val="left"/>
            </w:pPr>
            <w:r>
              <w:t xml:space="preserve">91.07%</w:t>
            </w:r>
          </w:p>
        </w:tc>
      </w:tr>
      <w:tr>
        <w:tc>
          <w:tcPr/>
          <w:p>
            <w:pPr>
              <w:pStyle w:val="Compact"/>
              <w:jc w:val="left"/>
            </w:pPr>
            <w:r>
              <w:rPr>
                <w:bCs/>
                <w:b/>
              </w:rPr>
              <w:t xml:space="preserve">Facility Natural Gas Combustion</w:t>
            </w:r>
          </w:p>
        </w:tc>
        <w:tc>
          <w:tcPr/>
          <w:p>
            <w:pPr>
              <w:pStyle w:val="Compact"/>
              <w:jc w:val="left"/>
            </w:pPr>
            <w:r>
              <w:t xml:space="preserve">Scope 1 (Direct)</w:t>
            </w:r>
          </w:p>
        </w:tc>
        <w:tc>
          <w:tcPr/>
          <w:p>
            <w:pPr>
              <w:pStyle w:val="Compact"/>
              <w:jc w:val="left"/>
            </w:pPr>
            <w:r>
              <w:t xml:space="preserve">0.016 m³</w:t>
            </w:r>
          </w:p>
        </w:tc>
        <w:tc>
          <w:tcPr/>
          <w:p>
            <w:pPr>
              <w:pStyle w:val="Compact"/>
              <w:jc w:val="left"/>
            </w:pPr>
            <w:r>
              <w:t xml:space="preserve">2.030 kg CO</w:t>
            </w:r>
            <w:r>
              <w:rPr>
                <w:vertAlign w:val="subscript"/>
              </w:rPr>
              <w:t xml:space="preserve">2</w:t>
            </w:r>
            <w:r>
              <w:t xml:space="preserve">e / m³</w:t>
            </w:r>
          </w:p>
        </w:tc>
        <w:tc>
          <w:tcPr/>
          <w:p>
            <w:pPr>
              <w:pStyle w:val="Compact"/>
              <w:jc w:val="left"/>
            </w:pPr>
            <w:r>
              <w:t xml:space="preserve">US EPA GHG Hub (2025)</w:t>
            </w:r>
          </w:p>
        </w:tc>
        <w:tc>
          <w:tcPr/>
          <w:p>
            <w:pPr>
              <w:pStyle w:val="Compact"/>
              <w:jc w:val="left"/>
            </w:pPr>
            <w:r>
              <w:t xml:space="preserve">0.0325</w:t>
            </w:r>
          </w:p>
        </w:tc>
        <w:tc>
          <w:tcPr/>
          <w:p>
            <w:pPr>
              <w:pStyle w:val="Compact"/>
              <w:jc w:val="left"/>
            </w:pPr>
            <w:r>
              <w:t xml:space="preserve">1.07%</w:t>
            </w:r>
          </w:p>
        </w:tc>
      </w:tr>
      <w:tr>
        <w:tc>
          <w:tcPr/>
          <w:p>
            <w:pPr>
              <w:pStyle w:val="Compact"/>
              <w:jc w:val="left"/>
            </w:pPr>
            <w:r>
              <w:rPr>
                <w:bCs/>
                <w:b/>
              </w:rPr>
              <w:t xml:space="preserve">Direct Plant Fugitives &amp; VOC Scrubbing</w:t>
            </w:r>
          </w:p>
        </w:tc>
        <w:tc>
          <w:tcPr/>
          <w:p>
            <w:pPr>
              <w:pStyle w:val="Compact"/>
              <w:jc w:val="left"/>
            </w:pPr>
            <w:r>
              <w:t xml:space="preserve">Scope 1 (Direct)</w:t>
            </w:r>
          </w:p>
        </w:tc>
        <w:tc>
          <w:tcPr/>
          <w:p>
            <w:pPr>
              <w:pStyle w:val="Compact"/>
              <w:jc w:val="left"/>
            </w:pPr>
            <w:r>
              <w:t xml:space="preserve">1.0 kg throughput</w:t>
            </w:r>
          </w:p>
        </w:tc>
        <w:tc>
          <w:tcPr/>
          <w:p>
            <w:pPr>
              <w:pStyle w:val="Compact"/>
              <w:jc w:val="left"/>
            </w:pPr>
            <w:r>
              <w:t xml:space="preserve">0.055 kg CO</w:t>
            </w:r>
            <w:r>
              <w:rPr>
                <w:vertAlign w:val="subscript"/>
              </w:rPr>
              <w:t xml:space="preserve">2</w:t>
            </w:r>
            <w:r>
              <w:t xml:space="preserve">e / kg</w:t>
            </w:r>
          </w:p>
        </w:tc>
        <w:tc>
          <w:tcPr/>
          <w:p>
            <w:pPr>
              <w:pStyle w:val="Compact"/>
              <w:jc w:val="left"/>
            </w:pPr>
            <w:r>
              <w:t xml:space="preserve">Primary plant stack testing</w:t>
            </w:r>
          </w:p>
        </w:tc>
        <w:tc>
          <w:tcPr/>
          <w:p>
            <w:pPr>
              <w:pStyle w:val="Compact"/>
              <w:jc w:val="left"/>
            </w:pPr>
            <w:r>
              <w:t xml:space="preserve">0.0550</w:t>
            </w:r>
          </w:p>
        </w:tc>
        <w:tc>
          <w:tcPr/>
          <w:p>
            <w:pPr>
              <w:pStyle w:val="Compact"/>
              <w:jc w:val="left"/>
            </w:pPr>
            <w:r>
              <w:t xml:space="preserve">1.80%</w:t>
            </w:r>
          </w:p>
        </w:tc>
      </w:tr>
      <w:tr>
        <w:tc>
          <w:tcPr>
            <w:gridSpan w:val="5"/>
          </w:tcPr>
          <w:p>
            <w:pPr>
              <w:pStyle w:val="Compact"/>
              <w:jc w:val="left"/>
            </w:pPr>
            <w:r>
              <w:t xml:space="preserve">Subtotal Scope 1 (Direct Plant Operations)</w:t>
            </w:r>
          </w:p>
        </w:tc>
        <w:tc>
          <w:tcPr/>
          <w:p>
            <w:pPr>
              <w:pStyle w:val="Compact"/>
              <w:jc w:val="left"/>
            </w:pPr>
            <w:r>
              <w:t xml:space="preserve">0.0875</w:t>
            </w:r>
          </w:p>
        </w:tc>
        <w:tc>
          <w:tcPr/>
          <w:p>
            <w:pPr>
              <w:pStyle w:val="Compact"/>
              <w:jc w:val="left"/>
            </w:pPr>
            <w:r>
              <w:t xml:space="preserve">2.87%</w:t>
            </w:r>
          </w:p>
        </w:tc>
      </w:tr>
      <w:tr>
        <w:tc>
          <w:tcPr/>
          <w:p>
            <w:pPr>
              <w:pStyle w:val="Compact"/>
              <w:jc w:val="left"/>
            </w:pPr>
            <w:r>
              <w:rPr>
                <w:bCs/>
                <w:b/>
              </w:rPr>
              <w:t xml:space="preserve">Purchased Electricity (Compounding &amp; Cooling)</w:t>
            </w:r>
          </w:p>
        </w:tc>
        <w:tc>
          <w:tcPr/>
          <w:p>
            <w:pPr>
              <w:pStyle w:val="Compact"/>
              <w:jc w:val="left"/>
            </w:pPr>
            <w:r>
              <w:t xml:space="preserve">Scope 2 (Energy)</w:t>
            </w:r>
          </w:p>
        </w:tc>
        <w:tc>
          <w:tcPr/>
          <w:p>
            <w:pPr>
              <w:pStyle w:val="Compact"/>
              <w:jc w:val="left"/>
            </w:pPr>
            <w:r>
              <w:t xml:space="preserve">0.485 kWh</w:t>
            </w:r>
          </w:p>
        </w:tc>
        <w:tc>
          <w:tcPr/>
          <w:p>
            <w:pPr>
              <w:pStyle w:val="Compact"/>
              <w:jc w:val="left"/>
            </w:pPr>
            <w:r>
              <w:t xml:space="preserve">0.380 kg CO</w:t>
            </w:r>
            <w:r>
              <w:rPr>
                <w:vertAlign w:val="subscript"/>
              </w:rPr>
              <w:t xml:space="preserve">2</w:t>
            </w:r>
            <w:r>
              <w:t xml:space="preserve">e / kWh</w:t>
            </w:r>
          </w:p>
        </w:tc>
        <w:tc>
          <w:tcPr/>
          <w:p>
            <w:pPr>
              <w:pStyle w:val="Compact"/>
              <w:jc w:val="left"/>
            </w:pPr>
            <w:r>
              <w:t xml:space="preserve">US eGRID 2026 Subregion Avg</w:t>
            </w:r>
          </w:p>
        </w:tc>
        <w:tc>
          <w:tcPr/>
          <w:p>
            <w:pPr>
              <w:pStyle w:val="Compact"/>
              <w:jc w:val="left"/>
            </w:pPr>
            <w:r>
              <w:t xml:space="preserve">0.1843</w:t>
            </w:r>
          </w:p>
        </w:tc>
        <w:tc>
          <w:tcPr/>
          <w:p>
            <w:pPr>
              <w:pStyle w:val="Compact"/>
              <w:jc w:val="left"/>
            </w:pPr>
            <w:r>
              <w:t xml:space="preserve">6.05%</w:t>
            </w:r>
          </w:p>
        </w:tc>
      </w:tr>
      <w:tr>
        <w:tc>
          <w:tcPr>
            <w:gridSpan w:val="5"/>
          </w:tcPr>
          <w:p>
            <w:pPr>
              <w:pStyle w:val="Compact"/>
              <w:jc w:val="left"/>
            </w:pPr>
            <w:r>
              <w:t xml:space="preserve">Subtotal Scope 2 (Indirect Energy)</w:t>
            </w:r>
          </w:p>
        </w:tc>
        <w:tc>
          <w:tcPr/>
          <w:p>
            <w:pPr>
              <w:pStyle w:val="Compact"/>
              <w:jc w:val="left"/>
            </w:pPr>
            <w:r>
              <w:t xml:space="preserve">0.1843</w:t>
            </w:r>
          </w:p>
        </w:tc>
        <w:tc>
          <w:tcPr/>
          <w:p>
            <w:pPr>
              <w:pStyle w:val="Compact"/>
              <w:jc w:val="left"/>
            </w:pPr>
            <w:r>
              <w:t xml:space="preserve">6.05%</w:t>
            </w:r>
          </w:p>
        </w:tc>
      </w:tr>
      <w:tr>
        <w:tc>
          <w:tcPr>
            <w:gridSpan w:val="5"/>
          </w:tcPr>
          <w:p>
            <w:pPr>
              <w:pStyle w:val="Compact"/>
              <w:jc w:val="left"/>
            </w:pPr>
            <w:r>
              <w:t xml:space="preserve">TOTAL NET CARBON FOOTPRINT (1.0 kg RUBBER)</w:t>
            </w:r>
          </w:p>
        </w:tc>
        <w:tc>
          <w:tcPr/>
          <w:p>
            <w:pPr>
              <w:pStyle w:val="Compact"/>
              <w:jc w:val="left"/>
            </w:pPr>
            <w:r>
              <w:t xml:space="preserve">3.0471</w:t>
            </w:r>
          </w:p>
        </w:tc>
        <w:tc>
          <w:tcPr/>
          <w:p>
            <w:pPr>
              <w:pStyle w:val="Compact"/>
              <w:jc w:val="left"/>
            </w:pPr>
            <w:r>
              <w:t xml:space="preserve">100.00%</w:t>
            </w:r>
          </w:p>
        </w:tc>
      </w:tr>
    </w:tbl>
    <w:bookmarkStart w:id="24" w:name="X256b3aff818ed1e4bf6266d249842afb61b24c9"/>
    <w:p>
      <w:pPr>
        <w:pStyle w:val="Heading3"/>
      </w:pPr>
      <w:r>
        <w:t xml:space="preserve">GHG Protocol 2026 Land Sector and Removals (LSR) Analysis</w:t>
      </w:r>
    </w:p>
    <w:p>
      <w:pPr>
        <w:pStyle w:val="FirstParagraph"/>
      </w:pPr>
      <w:r>
        <w:t xml:space="preserve">In accordance with the 2026 GHG Protocol LSR Standard, biogenic carbon stocks and land-use emissions from natural rubber (Hevea brasiliensis) cannot be netted against fossil emissions without disaggregated reporting: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LSR Carbon Flow Category</w:t>
            </w:r>
          </w:p>
        </w:tc>
        <w:tc>
          <w:tcPr/>
          <w:p>
            <w:pPr>
              <w:pStyle w:val="Compact"/>
              <w:jc w:val="left"/>
            </w:pPr>
            <w:r>
              <w:t xml:space="preserve">Flow Value per kg Rubber</w:t>
            </w:r>
          </w:p>
        </w:tc>
        <w:tc>
          <w:tcPr/>
          <w:p>
            <w:pPr>
              <w:pStyle w:val="Compact"/>
              <w:jc w:val="left"/>
            </w:pPr>
            <w:r>
              <w:t xml:space="preserve">Accounting Method &amp; Classification</w:t>
            </w:r>
          </w:p>
        </w:tc>
      </w:tr>
      <w:tr>
        <w:tc>
          <w:tcPr/>
          <w:p>
            <w:pPr>
              <w:pStyle w:val="Compact"/>
              <w:jc w:val="left"/>
            </w:pPr>
            <w:r>
              <w:rPr>
                <w:bCs/>
                <w:b/>
              </w:rPr>
              <w:t xml:space="preserve">Fossil GHG Emissions</w:t>
            </w:r>
          </w:p>
        </w:tc>
        <w:tc>
          <w:tcPr/>
          <w:p>
            <w:pPr>
              <w:pStyle w:val="Compact"/>
              <w:jc w:val="left"/>
            </w:pPr>
            <w:r>
              <w:t xml:space="preserve">2.842 kg CO</w:t>
            </w:r>
            <w:r>
              <w:rPr>
                <w:vertAlign w:val="subscript"/>
              </w:rPr>
              <w:t xml:space="preserve">2</w:t>
            </w:r>
            <w:r>
              <w:t xml:space="preserve">e</w:t>
            </w:r>
          </w:p>
        </w:tc>
        <w:tc>
          <w:tcPr/>
          <w:p>
            <w:pPr>
              <w:pStyle w:val="Compact"/>
              <w:jc w:val="left"/>
            </w:pPr>
            <w:r>
              <w:t xml:space="preserve">Reported in standard inventory (Petroleum refining, polymerization, furnace cracking, grid energy).</w:t>
            </w:r>
          </w:p>
        </w:tc>
      </w:tr>
      <w:tr>
        <w:tc>
          <w:tcPr/>
          <w:p>
            <w:pPr>
              <w:pStyle w:val="Compact"/>
              <w:jc w:val="left"/>
            </w:pPr>
            <w:r>
              <w:rPr>
                <w:bCs/>
                <w:b/>
              </w:rPr>
              <w:t xml:space="preserve">Biogenic Land Use Change (sLUC/dLUC)</w:t>
            </w:r>
          </w:p>
        </w:tc>
        <w:tc>
          <w:tcPr/>
          <w:p>
            <w:pPr>
              <w:pStyle w:val="Compact"/>
              <w:jc w:val="left"/>
            </w:pPr>
            <w:r>
              <w:t xml:space="preserve">0.065 kg CO</w:t>
            </w:r>
            <w:r>
              <w:rPr>
                <w:vertAlign w:val="subscript"/>
              </w:rPr>
              <w:t xml:space="preserve">2</w:t>
            </w:r>
            <w:r>
              <w:t xml:space="preserve">e</w:t>
            </w:r>
          </w:p>
        </w:tc>
        <w:tc>
          <w:tcPr/>
          <w:p>
            <w:pPr>
              <w:pStyle w:val="Compact"/>
              <w:jc w:val="left"/>
            </w:pPr>
            <w:r>
              <w:t xml:space="preserve">Direct &amp; statistical land use change over 20-year amortization for plantation rubber expansion.</w:t>
            </w:r>
          </w:p>
        </w:tc>
      </w:tr>
      <w:tr>
        <w:tc>
          <w:tcPr/>
          <w:p>
            <w:pPr>
              <w:pStyle w:val="Compact"/>
              <w:jc w:val="left"/>
            </w:pPr>
            <w:r>
              <w:rPr>
                <w:bCs/>
                <w:b/>
              </w:rPr>
              <w:t xml:space="preserve">Biogenic Cultivation &amp; Coagulation GHG</w:t>
            </w:r>
          </w:p>
        </w:tc>
        <w:tc>
          <w:tcPr/>
          <w:p>
            <w:pPr>
              <w:pStyle w:val="Compact"/>
              <w:jc w:val="left"/>
            </w:pPr>
            <w:r>
              <w:t xml:space="preserve">0.140 kg CO</w:t>
            </w:r>
            <w:r>
              <w:rPr>
                <w:vertAlign w:val="subscript"/>
              </w:rPr>
              <w:t xml:space="preserve">2</w:t>
            </w:r>
            <w:r>
              <w:t xml:space="preserve">e</w:t>
            </w:r>
          </w:p>
        </w:tc>
        <w:tc>
          <w:tcPr/>
          <w:p>
            <w:pPr>
              <w:pStyle w:val="Compact"/>
              <w:jc w:val="left"/>
            </w:pPr>
            <w:r>
              <w:t xml:space="preserve">Fertilizer N</w:t>
            </w:r>
            <w:r>
              <w:rPr>
                <w:vertAlign w:val="subscript"/>
              </w:rPr>
              <w:t xml:space="preserve">2</w:t>
            </w:r>
            <w:r>
              <w:t xml:space="preserve">O emissions and effluent pond CH</w:t>
            </w:r>
            <w:r>
              <w:rPr>
                <w:vertAlign w:val="subscript"/>
              </w:rPr>
              <w:t xml:space="preserve">4</w:t>
            </w:r>
            <w:r>
              <w:t xml:space="preserve"> </w:t>
            </w:r>
            <w:r>
              <w:t xml:space="preserve">biogenic emissions at latex processing mills.</w:t>
            </w:r>
          </w:p>
        </w:tc>
      </w:tr>
      <w:tr>
        <w:tc>
          <w:tcPr/>
          <w:p>
            <w:pPr>
              <w:pStyle w:val="Compact"/>
              <w:jc w:val="left"/>
            </w:pPr>
            <w:r>
              <w:rPr>
                <w:bCs/>
                <w:b/>
              </w:rPr>
              <w:t xml:space="preserve">Biogenic Carbon Embedded (Removal / Storage)</w:t>
            </w:r>
          </w:p>
        </w:tc>
        <w:tc>
          <w:tcPr/>
          <w:p>
            <w:pPr>
              <w:pStyle w:val="Compact"/>
              <w:jc w:val="left"/>
            </w:pPr>
            <w:r>
              <w:t xml:space="preserve">-0.278 kg CO</w:t>
            </w:r>
            <w:r>
              <w:rPr>
                <w:vertAlign w:val="subscript"/>
              </w:rPr>
              <w:t xml:space="preserve">2</w:t>
            </w:r>
          </w:p>
        </w:tc>
        <w:tc>
          <w:tcPr/>
          <w:p>
            <w:pPr>
              <w:pStyle w:val="Compact"/>
              <w:jc w:val="left"/>
            </w:pPr>
            <w:r>
              <w:t xml:space="preserve">Stored photosynthetic carbon in 0.150 kg natural cis-polyisoprene matrix (tracked separately; not credited at gate).</w:t>
            </w:r>
          </w:p>
        </w:tc>
      </w:tr>
    </w:tbl>
    <w:p>
      <w:pPr>
        <w:pStyle w:val="BodyText"/>
      </w:pPr>
      <w:r>
        <w:rPr>
          <w:bCs/>
          <w:b/>
        </w:rPr>
        <w:t xml:space="preserve">2026 LSR Accounting Rule:</w:t>
      </w:r>
      <w:r>
        <w:t xml:space="preserve"> </w:t>
      </w:r>
      <w:r>
        <w:t xml:space="preserve">The biogenic stored carbon (-0.278 kg CO</w:t>
      </w:r>
      <w:r>
        <w:rPr>
          <w:vertAlign w:val="subscript"/>
        </w:rPr>
        <w:t xml:space="preserve">2</w:t>
      </w:r>
      <w:r>
        <w:t xml:space="preserve">) embedded in the polymer matrix remains non-credited within this factory-gate declaration, as end-of-life combustion, tire pyrolysis, or oxidation remains outside the operational control of this intermediate compounding plant.</w:t>
      </w:r>
    </w:p>
    <w:p>
      <w:r>
        <w:pict>
          <v:rect style="width:0;height:1.5pt" o:hralign="center" o:hrstd="t" o:hr="t"/>
        </w:pict>
      </w:r>
    </w:p>
    <w:bookmarkEnd w:id="24"/>
    <w:bookmarkEnd w:id="25"/>
    <w:bookmarkStart w:id="29" w:name="X8287ea00501d53e5189b3f29ca16753596d8b76"/>
    <w:p>
      <w:pPr>
        <w:pStyle w:val="Heading2"/>
      </w:pPr>
      <w:r>
        <w:t xml:space="preserve">Step 5: Review &amp; Report (Hotspots, Data Reliability, and Decarbonization Pathway)</w:t>
      </w:r>
    </w:p>
    <w:bookmarkStart w:id="26" w:name="hotspot-identification"/>
    <w:p>
      <w:pPr>
        <w:pStyle w:val="Heading3"/>
      </w:pPr>
      <w:r>
        <w:t xml:space="preserve">1. Hotspot Identification</w:t>
      </w:r>
    </w:p>
    <w:p>
      <w:pPr>
        <w:numPr>
          <w:ilvl w:val="0"/>
          <w:numId w:val="1002"/>
        </w:numPr>
        <w:pStyle w:val="Compact"/>
      </w:pPr>
      <w:r>
        <w:rPr>
          <w:bCs/>
          <w:b/>
        </w:rPr>
        <w:t xml:space="preserve">Synthetic Elastomer Synthesis (37.2%):</w:t>
      </w:r>
      <w:r>
        <w:t xml:space="preserve"> </w:t>
      </w:r>
      <w:r>
        <w:t xml:space="preserve">Emulsion/Solution SBR production relies on energy-intensive steam cracking of naphtha to yield 1,3-butadiene and styrene, consuming significant high-enthalpy thermal energy.</w:t>
      </w:r>
    </w:p>
    <w:p>
      <w:pPr>
        <w:numPr>
          <w:ilvl w:val="0"/>
          <w:numId w:val="1002"/>
        </w:numPr>
        <w:pStyle w:val="Compact"/>
      </w:pPr>
      <w:r>
        <w:rPr>
          <w:bCs/>
          <w:b/>
        </w:rPr>
        <w:t xml:space="preserve">Furnace Carbon Black (24.4%):</w:t>
      </w:r>
      <w:r>
        <w:t xml:space="preserve"> </w:t>
      </w:r>
      <w:r>
        <w:t xml:space="preserve">Thermal conversion of heavy aromatic residual oils into sub-micron carbon particles releases CO</w:t>
      </w:r>
      <w:r>
        <w:rPr>
          <w:vertAlign w:val="subscript"/>
        </w:rPr>
        <w:t xml:space="preserve">2</w:t>
      </w:r>
      <w:r>
        <w:t xml:space="preserve"> </w:t>
      </w:r>
      <w:r>
        <w:t xml:space="preserve">and process off-gases, representing a key Scope 3 hotspot.</w:t>
      </w:r>
    </w:p>
    <w:p>
      <w:pPr>
        <w:numPr>
          <w:ilvl w:val="0"/>
          <w:numId w:val="1002"/>
        </w:numPr>
        <w:pStyle w:val="Compact"/>
      </w:pPr>
      <w:r>
        <w:rPr>
          <w:bCs/>
          <w:b/>
        </w:rPr>
        <w:t xml:space="preserve">Direct Mixing Electricity (6.1%):</w:t>
      </w:r>
      <w:r>
        <w:t xml:space="preserve"> </w:t>
      </w:r>
      <w:r>
        <w:t xml:space="preserve">The high mechanical shear required in high-viscosity Banbury internal mixers demands significant electrical load (0.485 kWh/kg).</w:t>
      </w:r>
    </w:p>
    <w:p>
      <w:pPr>
        <w:numPr>
          <w:ilvl w:val="0"/>
          <w:numId w:val="1002"/>
        </w:numPr>
        <w:pStyle w:val="Compact"/>
      </w:pPr>
      <w:r>
        <w:rPr>
          <w:bCs/>
          <w:b/>
        </w:rPr>
        <w:t xml:space="preserve">Inbound Freight (4.1%):</w:t>
      </w:r>
      <w:r>
        <w:t xml:space="preserve"> </w:t>
      </w:r>
      <w:r>
        <w:t xml:space="preserve">Maritime container shipping of natural rubber from Southeast Asia constitutes the majority of transport emissions.</w:t>
      </w:r>
    </w:p>
    <w:bookmarkEnd w:id="26"/>
    <w:bookmarkStart w:id="27" w:name="data-quality-uncertainty-assessment"/>
    <w:p>
      <w:pPr>
        <w:pStyle w:val="Heading3"/>
      </w:pPr>
      <w:r>
        <w:t xml:space="preserve">2. Data Quality &amp; Uncertainty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 Dimension</w:t>
            </w:r>
          </w:p>
        </w:tc>
        <w:tc>
          <w:tcPr/>
          <w:p>
            <w:pPr>
              <w:pStyle w:val="Compact"/>
              <w:jc w:val="left"/>
            </w:pPr>
            <w:r>
              <w:t xml:space="preserve">Assessment</w:t>
            </w:r>
          </w:p>
        </w:tc>
        <w:tc>
          <w:tcPr/>
          <w:p>
            <w:pPr>
              <w:pStyle w:val="Compact"/>
              <w:jc w:val="left"/>
            </w:pPr>
            <w:r>
              <w:t xml:space="preserve">Confidence &amp; Mitigation Strategy</w:t>
            </w:r>
          </w:p>
        </w:tc>
      </w:tr>
      <w:tr>
        <w:tc>
          <w:tcPr/>
          <w:p>
            <w:pPr>
              <w:pStyle w:val="Compact"/>
              <w:jc w:val="left"/>
            </w:pPr>
            <w:r>
              <w:rPr>
                <w:bCs/>
                <w:b/>
              </w:rPr>
              <w:t xml:space="preserve">Scope 3 Completeness</w:t>
            </w:r>
          </w:p>
        </w:tc>
        <w:tc>
          <w:tcPr/>
          <w:p>
            <w:pPr>
              <w:pStyle w:val="Compact"/>
              <w:jc w:val="left"/>
            </w:pPr>
            <w:r>
              <w:t xml:space="preserve">98.4% mass representation</w:t>
            </w:r>
          </w:p>
        </w:tc>
        <w:tc>
          <w:tcPr/>
          <w:p>
            <w:pPr>
              <w:pStyle w:val="Compact"/>
              <w:jc w:val="left"/>
            </w:pPr>
            <w:r>
              <w:t xml:space="preserve">Complies with the 2026 GHG Protocol standard mandate of &gt;95% Scope 3 inventory completeness.</w:t>
            </w:r>
          </w:p>
        </w:tc>
      </w:tr>
      <w:tr>
        <w:tc>
          <w:tcPr/>
          <w:p>
            <w:pPr>
              <w:pStyle w:val="Compact"/>
              <w:jc w:val="left"/>
            </w:pPr>
            <w:r>
              <w:rPr>
                <w:bCs/>
                <w:b/>
              </w:rPr>
              <w:t xml:space="preserve">Geographic Correlation</w:t>
            </w:r>
          </w:p>
        </w:tc>
        <w:tc>
          <w:tcPr/>
          <w:p>
            <w:pPr>
              <w:pStyle w:val="Compact"/>
              <w:jc w:val="left"/>
            </w:pPr>
            <w:r>
              <w:t xml:space="preserve">US Midwest Plant / North America Supply</w:t>
            </w:r>
          </w:p>
        </w:tc>
        <w:tc>
          <w:tcPr/>
          <w:p>
            <w:pPr>
              <w:pStyle w:val="Compact"/>
              <w:jc w:val="left"/>
            </w:pPr>
            <w:r>
              <w:t xml:space="preserve">Subregion eGRID factors and domestic rail freight profiles used; high correlation.</w:t>
            </w:r>
          </w:p>
        </w:tc>
      </w:tr>
      <w:tr>
        <w:tc>
          <w:tcPr/>
          <w:p>
            <w:pPr>
              <w:pStyle w:val="Compact"/>
              <w:jc w:val="left"/>
            </w:pPr>
            <w:r>
              <w:rPr>
                <w:bCs/>
                <w:b/>
              </w:rPr>
              <w:t xml:space="preserve">Temporal Correlation</w:t>
            </w:r>
          </w:p>
        </w:tc>
        <w:tc>
          <w:tcPr/>
          <w:p>
            <w:pPr>
              <w:pStyle w:val="Compact"/>
              <w:jc w:val="left"/>
            </w:pPr>
            <w:r>
              <w:t xml:space="preserve">Data vintage 2024–2026</w:t>
            </w:r>
          </w:p>
        </w:tc>
        <w:tc>
          <w:tcPr/>
          <w:p>
            <w:pPr>
              <w:pStyle w:val="Compact"/>
              <w:jc w:val="left"/>
            </w:pPr>
            <w:r>
              <w:t xml:space="preserve">All secondary factors reflect 2024–2026 updates from DEFRA, US EPA, and Ecoinvent 3.10.</w:t>
            </w:r>
          </w:p>
        </w:tc>
      </w:tr>
      <w:tr>
        <w:tc>
          <w:tcPr/>
          <w:p>
            <w:pPr>
              <w:pStyle w:val="Compact"/>
              <w:jc w:val="left"/>
            </w:pPr>
            <w:r>
              <w:rPr>
                <w:bCs/>
                <w:b/>
              </w:rPr>
              <w:t xml:space="preserve">Sensitivity (Uncertainty Range)</w:t>
            </w:r>
          </w:p>
        </w:tc>
        <w:tc>
          <w:tcPr/>
          <w:p>
            <w:pPr>
              <w:pStyle w:val="Compact"/>
              <w:jc w:val="left"/>
            </w:pPr>
            <w:r>
              <w:t xml:space="preserve">±7.2% overall uncertainty</w:t>
            </w:r>
          </w:p>
        </w:tc>
        <w:tc>
          <w:tcPr/>
          <w:p>
            <w:pPr>
              <w:pStyle w:val="Compact"/>
              <w:jc w:val="left"/>
            </w:pPr>
            <w:r>
              <w:t xml:space="preserve">Monte Carlo sensitivity tests indicate carbon black carbon yield variance is the primary parameter of dispersion.</w:t>
            </w:r>
          </w:p>
        </w:tc>
      </w:tr>
    </w:tbl>
    <w:bookmarkEnd w:id="27"/>
    <w:bookmarkStart w:id="28" w:name="Xcda4949f4a1856fe1a2d0ed16325fb93d349271"/>
    <w:p>
      <w:pPr>
        <w:pStyle w:val="Heading3"/>
      </w:pPr>
      <w:r>
        <w:t xml:space="preserve">3. Strategic Decarbonization Recommendations</w:t>
      </w:r>
    </w:p>
    <w:p>
      <w:pPr>
        <w:numPr>
          <w:ilvl w:val="0"/>
          <w:numId w:val="1003"/>
        </w:numPr>
        <w:pStyle w:val="Compact"/>
      </w:pPr>
      <w:r>
        <w:rPr>
          <w:bCs/>
          <w:b/>
        </w:rPr>
        <w:t xml:space="preserve">Transition to Recovered Carbon Black (rCB):</w:t>
      </w:r>
      <w:r>
        <w:t xml:space="preserve"> </w:t>
      </w:r>
      <w:r>
        <w:t xml:space="preserve">Replacing 30% of virgin furnace carbon black with ASTM-certified circular recovered carbon black derived from end-of-life tire pyrolysis achieves an estimated</w:t>
      </w:r>
      <w:r>
        <w:t xml:space="preserve"> </w:t>
      </w:r>
      <w:r>
        <w:rPr>
          <w:bCs/>
          <w:b/>
        </w:rPr>
        <w:t xml:space="preserve">0.22 kg CO</w:t>
      </w:r>
      <w:r>
        <w:rPr>
          <w:vertAlign w:val="subscript"/>
          <w:bCs/>
          <w:b/>
        </w:rPr>
        <w:t xml:space="preserve">2</w:t>
      </w:r>
      <w:r>
        <w:rPr>
          <w:bCs/>
          <w:b/>
        </w:rPr>
        <w:t xml:space="preserve">e (7.2%) reduction</w:t>
      </w:r>
      <w:r>
        <w:t xml:space="preserve"> </w:t>
      </w:r>
      <w:r>
        <w:t xml:space="preserve">per kg of compound.</w:t>
      </w:r>
    </w:p>
    <w:p>
      <w:pPr>
        <w:numPr>
          <w:ilvl w:val="0"/>
          <w:numId w:val="1003"/>
        </w:numPr>
        <w:pStyle w:val="Compact"/>
      </w:pPr>
      <w:r>
        <w:rPr>
          <w:bCs/>
          <w:b/>
        </w:rPr>
        <w:t xml:space="preserve">Bio-attributed / Mass-Balanced Polymers:</w:t>
      </w:r>
      <w:r>
        <w:t xml:space="preserve"> </w:t>
      </w:r>
      <w:r>
        <w:t xml:space="preserve">Incorporating ISCC PLUS certified bio-circular SBR (derived from tall oil or used cooking oil) reduces Scope 3 Category 1 emissions by up to</w:t>
      </w:r>
      <w:r>
        <w:t xml:space="preserve"> </w:t>
      </w:r>
      <w:r>
        <w:rPr>
          <w:bCs/>
          <w:b/>
        </w:rPr>
        <w:t xml:space="preserve">0.45 kg CO</w:t>
      </w:r>
      <w:r>
        <w:rPr>
          <w:vertAlign w:val="subscript"/>
          <w:bCs/>
          <w:b/>
        </w:rPr>
        <w:t xml:space="preserve">2</w:t>
      </w:r>
      <w:r>
        <w:rPr>
          <w:bCs/>
          <w:b/>
        </w:rPr>
        <w:t xml:space="preserve">e (14.8%)</w:t>
      </w:r>
      <w:r>
        <w:t xml:space="preserve">.</w:t>
      </w:r>
    </w:p>
    <w:p>
      <w:pPr>
        <w:numPr>
          <w:ilvl w:val="0"/>
          <w:numId w:val="1003"/>
        </w:numPr>
        <w:pStyle w:val="Compact"/>
      </w:pPr>
      <w:r>
        <w:rPr>
          <w:bCs/>
          <w:b/>
        </w:rPr>
        <w:t xml:space="preserve">Facility PPA / Renewable Electricity Procurement:</w:t>
      </w:r>
      <w:r>
        <w:t xml:space="preserve"> </w:t>
      </w:r>
      <w:r>
        <w:t xml:space="preserve">Securing a bundled renewable power purchase agreement (PPA) eliminates Scope 2 indirect emissions, yielding an immediate</w:t>
      </w:r>
      <w:r>
        <w:t xml:space="preserve"> </w:t>
      </w:r>
      <w:r>
        <w:rPr>
          <w:bCs/>
          <w:b/>
        </w:rPr>
        <w:t xml:space="preserve">0.18 kg CO</w:t>
      </w:r>
      <w:r>
        <w:rPr>
          <w:vertAlign w:val="subscript"/>
          <w:bCs/>
          <w:b/>
        </w:rPr>
        <w:t xml:space="preserve">2</w:t>
      </w:r>
      <w:r>
        <w:rPr>
          <w:bCs/>
          <w:b/>
        </w:rPr>
        <w:t xml:space="preserve">e (6.0%) reduction</w:t>
      </w:r>
      <w:r>
        <w:t xml:space="preserve"> </w:t>
      </w:r>
      <w:r>
        <w:t xml:space="preserve">at factory gate.</w:t>
      </w:r>
    </w:p>
    <w:p>
      <w:pPr>
        <w:numPr>
          <w:ilvl w:val="0"/>
          <w:numId w:val="1003"/>
        </w:numPr>
        <w:pStyle w:val="Compact"/>
      </w:pPr>
      <w:r>
        <w:rPr>
          <w:bCs/>
          <w:b/>
        </w:rPr>
        <w:t xml:space="preserve">Deforestation-Free Certified Natural Rubber:</w:t>
      </w:r>
      <w:r>
        <w:t xml:space="preserve"> </w:t>
      </w:r>
      <w:r>
        <w:t xml:space="preserve">Procuring FSC or PEFC-certified TSR eliminates land-use change penalties under 2026 LSR standards, lowering natural rubber footprint by</w:t>
      </w:r>
      <w:r>
        <w:t xml:space="preserve"> </w:t>
      </w:r>
      <w:r>
        <w:rPr>
          <w:bCs/>
          <w:b/>
        </w:rPr>
        <w:t xml:space="preserve">23.8%</w:t>
      </w:r>
      <w:r>
        <w:t xml:space="preserve">.</w:t>
      </w:r>
    </w:p>
    <w:p>
      <w:pPr>
        <w:pStyle w:val="FirstParagraph"/>
      </w:pPr>
      <w:r>
        <w:rPr>
          <w:bCs/>
          <w:b/>
        </w:rPr>
        <w:t xml:space="preserve">businessanalytiq.com</w:t>
      </w:r>
      <w:r>
        <w:t xml:space="preserve"> </w:t>
      </w:r>
      <w:r>
        <w:t xml:space="preserve">• Carbon Accounting &amp; ESG Analytics</w:t>
      </w:r>
    </w:p>
    <w:p>
      <w:pPr>
        <w:pStyle w:val="BodyText"/>
      </w:pPr>
      <w:r>
        <w:t xml:space="preserve">Standard: GHG Protocol Product Standard | Confidential - 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Technical Compounded Rubber (1.0 kg) | businessanalytiq.com</dc:title>
  <dc:creator/>
  <dc:description>Comprehensive Product Carbon Footprint (PCF) analysis for 1.0 kg of compounded rubber manufactured in the United States, adhering to GHG Protocol Product Standard and 2026 Land Sector and Removals (LSR) Guidance.</dc:description>
  <dc:language>en</dc:language>
  <cp:keywords/>
  <dcterms:created xsi:type="dcterms:W3CDTF">2026-10-08T11:59:26Z</dcterms:created>
  <dcterms:modified xsi:type="dcterms:W3CDTF">2026-10-08T11:59:26Z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