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tdmotnsudz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tdmotnsudz</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revnroxiuj</w:t>
      </w:r>
    </w:p>
    <w:p>
      <w:pPr>
        <w:pStyle w:val="BodyText"/>
      </w:pPr>
      <w:r>
        <w:rPr>
          <w:bCs/>
          <w:b/>
        </w:rPr>
        <w:t xml:space="preserve">Senior Sustainability Consultant:</w:t>
      </w:r>
      <w:r>
        <w:t xml:space="preserve"> </w:t>
      </w:r>
      <w:r>
        <w:t xml:space="preserve">wtofthvnwu</w:t>
      </w:r>
    </w:p>
    <w:p>
      <w:pPr>
        <w:pStyle w:val="BodyText"/>
      </w:pPr>
      <w:r>
        <w:t xml:space="preserve">This report is generated based on available data and industry standards. Assumptions and representative values have been used where specific data was not provided or exact figures for generic placeholders were not available. All efforts have been made to ensure accuracy in accordance with the specified parameters.</w:t>
      </w:r>
    </w:p>
    <w:bookmarkEnd w:id="20"/>
    <w:bookmarkStart w:id="43" w:name="X20d39466f433973dc7c46dbcc4eff90e75562eb"/>
    <w:p>
      <w:pPr>
        <w:pStyle w:val="Heading1"/>
      </w:pPr>
      <w:r>
        <w:t xml:space="preserve">Product Carbon Footprint Report for tdmotnsudz</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\'tdmotnsudz\', manufactured by \'revnroxiuj\'. The analysis, conducted by Senior Sustainability Consultant \'wtofthvnwu\', adheres strictly to the GHG Protocol, including the 2026 Land Sector and Removals (LSR) Standard and ensuring at least 95% Scope 3 coverage. The primary goal is to quantify the greenhouse gas (GHG) emissions across the product\'s lifecycle, from raw material acquisition to end-of-life, providing insights into emission hotspots and contributing to \'revnroxiuj\'s\' sustainability efforts. The functional unit for this analysis is 1.0 unit of \'tdmotnsudz\', with a system boundary set at \'factory_gate\' for the initial production and an overall supply chain focus on Europe for downstream processes, with final production occurring in China.</w:t>
      </w:r>
    </w:p>
    <w:p>
      <w:r>
        <w:pict>
          <v:rect style="width:0;height:1.5pt" o:hralign="center" o:hrstd="t" o:hr="t"/>
        </w:pict>
      </w:r>
    </w:p>
    <w:bookmarkEnd w:id="21"/>
    <w:bookmarkStart w:id="41" w:name="methodology"/>
    <w:p>
      <w:pPr>
        <w:pStyle w:val="Heading2"/>
      </w:pPr>
      <w:r>
        <w:t xml:space="preserve">Methodology</w:t>
      </w:r>
    </w:p>
    <w:p>
      <w:pPr>
        <w:pStyle w:val="FirstParagraph"/>
      </w:pPr>
      <w:r>
        <w:t xml:space="preserve">The Product Carbon Footprint (PCF) analysis for \'tdmotnsudz\' follows a five-step methodology in accordance with the GHG Protocol\'s Product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\'tdmotnsudz\'.</w:t>
      </w:r>
    </w:p>
    <w:p>
      <w:pPr>
        <w:numPr>
          <w:ilvl w:val="0"/>
          <w:numId w:val="1001"/>
        </w:numPr>
        <w:pStyle w:val="Compact"/>
      </w:pPr>
      <w:r>
        <w:rPr>
          <w:bCs/>
          <w:b/>
        </w:rPr>
        <w:t xml:space="preserve">System Boundary:</w:t>
      </w:r>
      <w:r>
        <w:t xml:space="preserve"> </w:t>
      </w:r>
      <w:r>
        <w:t xml:space="preserve">Cradle-to-grave, with the initial assessment for upstream impacts up to \'factory_gate\' and comprehensive downstream analysis.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in China with a distribution and use phase primarily within Europe.</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attributed to the functional unit (1.0 unit of \'tdmotnsudz\'). Where shared processes occur (e.g., transport of multiple goods), emissions are allocated based on mass-distance for freight.</w:t>
      </w:r>
    </w:p>
    <w:bookmarkEnd w:id="22"/>
    <w:bookmarkStart w:id="28" w:name="X668a29dea6996859d52024a913312988ccfa3c9"/>
    <w:p>
      <w:pPr>
        <w:pStyle w:val="Heading3"/>
      </w:pPr>
      <w:r>
        <w:t xml:space="preserve">2. Map Lifecycle (LCI Inventory Stages) &amp; 3. Collect Data</w:t>
      </w:r>
    </w:p>
    <w:p>
      <w:pPr>
        <w:pStyle w:val="FirstParagraph"/>
      </w:pPr>
      <w:r>
        <w:t xml:space="preserve">This section details the inputs for each lifecycle stage, leveraging both primary data provided by \'revnroxiuj\' and secondary data from industry-standard emission factor databases (such as Ecoinvent and DEFRA equivalents).</w:t>
      </w:r>
    </w:p>
    <w:bookmarkStart w:id="23" w:name="X1198c8af25dd1a2ebffa686809674f976343a37"/>
    <w:p>
      <w:pPr>
        <w:pStyle w:val="Heading4"/>
      </w:pPr>
      <w:r>
        <w:t xml:space="preserve">Material Acquisition &amp; Pre-processing (Scope 3 - Upstream)</w:t>
      </w:r>
    </w:p>
    <w:p>
      <w:pPr>
        <w:pStyle w:val="FirstParagraph"/>
      </w:pPr>
      <w:r>
        <w:t xml:space="preserve">The Detailed Bill of Materials (BOM) for \'tdmotnsudz\' is provided as "thuridlq". For calculation, we will parse this string into individual components. The "Total Carbon" value provided in the BOM for each item is directly used to calculate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1.8</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iCs/>
          <w:i/>
        </w:rPr>
        <w:t xml:space="preserve">Note: The "Total Carbon" value for each BOM item is directly used as per instruction.</w:t>
      </w:r>
    </w:p>
    <w:bookmarkEnd w:id="23"/>
    <w:bookmarkStart w:id="24" w:name="production-phase-scope-1-2"/>
    <w:p>
      <w:pPr>
        <w:pStyle w:val="Heading4"/>
      </w:pPr>
      <w:r>
        <w:t xml:space="preserve">Production Phase (Scope 1 &amp; 2)</w:t>
      </w:r>
    </w:p>
    <w:p>
      <w:pPr>
        <w:numPr>
          <w:ilvl w:val="0"/>
          <w:numId w:val="1002"/>
        </w:numPr>
        <w:pStyle w:val="Compact"/>
      </w:pPr>
      <w:r>
        <w:rPr>
          <w:bCs/>
          <w:b/>
        </w:rPr>
        <w:t xml:space="preserve">Energy Intensity (kWh/unit):</w:t>
      </w:r>
      <w:r>
        <w:t xml:space="preserve"> </w:t>
      </w:r>
      <w:r>
        <w:t xml:space="preserve">ivmpmkqulk (Assumed: 100 kWh/unit for calculation purposes, as \'ivmpmkqulk\' is a placeholder string.)</w:t>
      </w:r>
    </w:p>
    <w:p>
      <w:pPr>
        <w:numPr>
          <w:ilvl w:val="0"/>
          <w:numId w:val="1002"/>
        </w:numPr>
        <w:pStyle w:val="Compact"/>
      </w:pPr>
      <w:r>
        <w:rPr>
          <w:bCs/>
          <w:b/>
        </w:rPr>
        <w:t xml:space="preserve">Renewable Energy Usage (%):</w:t>
      </w:r>
      <w:r>
        <w:t xml:space="preserve"> </w:t>
      </w:r>
      <w:r>
        <w:t xml:space="preserve">psnodeises (Assumed: 50% for calculation purposes, as \'psnodeises\' is a placeholder string.)</w:t>
      </w:r>
    </w:p>
    <w:p>
      <w:pPr>
        <w:numPr>
          <w:ilvl w:val="0"/>
          <w:numId w:val="1002"/>
        </w:numPr>
        <w:pStyle w:val="Compact"/>
      </w:pPr>
      <w:r>
        <w:rPr>
          <w:bCs/>
          <w:b/>
        </w:rPr>
        <w:t xml:space="preserve">Electricity Grid Emission Factor (China):</w:t>
      </w:r>
      <w:r>
        <w:t xml:space="preserve"> </w:t>
      </w:r>
      <w:r>
        <w:t xml:space="preserve">0.6205 kg CO2e/kWh (national average, 2023).</w:t>
      </w:r>
    </w:p>
    <w:p>
      <w:pPr>
        <w:numPr>
          <w:ilvl w:val="0"/>
          <w:numId w:val="1002"/>
        </w:numPr>
        <w:pStyle w:val="Compact"/>
      </w:pPr>
      <w:r>
        <w:rPr>
          <w:bCs/>
          <w:b/>
        </w:rPr>
        <w:t xml:space="preserve">Direct Emissions (Scope 1):</w:t>
      </w:r>
      <w:r>
        <w:t xml:space="preserve"> </w:t>
      </w:r>
      <w:r>
        <w:t xml:space="preserve">Assuming minimal direct combustion emissions for the production of \'tdmotnsudz\' at \'revnroxiuj\'s\' factory, as no specific data was provided. Any on-site fuel combustion would be captured here.</w:t>
      </w:r>
    </w:p>
    <w:bookmarkEnd w:id="24"/>
    <w:bookmarkStart w:id="25" w:name="transport-scope-3---upstream-downstream"/>
    <w:p>
      <w:pPr>
        <w:pStyle w:val="Heading4"/>
      </w:pPr>
      <w:r>
        <w:t xml:space="preserve">Transport (Scope 3 - Upstream &amp; Downstream)</w:t>
      </w:r>
    </w:p>
    <w:p>
      <w:pPr>
        <w:numPr>
          <w:ilvl w:val="0"/>
          <w:numId w:val="1003"/>
        </w:numPr>
        <w:pStyle w:val="Compact"/>
      </w:pPr>
      <w:r>
        <w:rPr>
          <w:bCs/>
          <w:b/>
        </w:rPr>
        <w:t xml:space="preserve">Primary Transport Mode (China to Europe):</w:t>
      </w:r>
      <w:r>
        <w:t xml:space="preserve"> </w:t>
      </w:r>
      <w:r>
        <w:t xml:space="preserve">Select Mode (Assumed: Sea Freight (Container Ship) for main leg from China to Europe).</w:t>
      </w:r>
    </w:p>
    <w:p>
      <w:pPr>
        <w:numPr>
          <w:ilvl w:val="0"/>
          <w:numId w:val="1003"/>
        </w:numPr>
        <w:pStyle w:val="Compact"/>
      </w:pPr>
      <w:r>
        <w:rPr>
          <w:bCs/>
          <w:b/>
        </w:rPr>
        <w:t xml:space="preserve">Transport Distance (Main Leg):</w:t>
      </w:r>
      <w:r>
        <w:t xml:space="preserve"> </w:t>
      </w:r>
      <w:r>
        <w:t xml:space="preserve">vjjhydhihx (Assumed: 20,000 km for Sea Freight, as \'vjjhydhihx\' is a placeholder string.)</w:t>
      </w:r>
    </w:p>
    <w:p>
      <w:pPr>
        <w:numPr>
          <w:ilvl w:val="0"/>
          <w:numId w:val="1003"/>
        </w:numPr>
        <w:pStyle w:val="Compact"/>
      </w:pPr>
      <w:r>
        <w:rPr>
          <w:bCs/>
          <w:b/>
        </w:rPr>
        <w:t xml:space="preserve">Last-Mile Delivery Channel:</w:t>
      </w:r>
      <w:r>
        <w:t xml:space="preserve"> </w:t>
      </w:r>
      <w:r>
        <w:t xml:space="preserve">Delivery Type (Assumed: Road Freight (Light Commercial Vehicle) for last-mile within Europe).</w:t>
      </w:r>
    </w:p>
    <w:p>
      <w:pPr>
        <w:numPr>
          <w:ilvl w:val="0"/>
          <w:numId w:val="1003"/>
        </w:numPr>
        <w:pStyle w:val="Compact"/>
      </w:pPr>
      <w:r>
        <w:rPr>
          <w:bCs/>
          <w:b/>
        </w:rPr>
        <w:t xml:space="preserve">Last-Mile Distance:</w:t>
      </w:r>
      <w:r>
        <w:t xml:space="preserve"> </w:t>
      </w:r>
      <w:r>
        <w:t xml:space="preserve">Assumed: 50 km.</w:t>
      </w:r>
    </w:p>
    <w:p>
      <w:pPr>
        <w:numPr>
          <w:ilvl w:val="0"/>
          <w:numId w:val="1003"/>
        </w:numPr>
        <w:pStyle w:val="Compact"/>
      </w:pPr>
      <w:r>
        <w:rPr>
          <w:bCs/>
          <w:b/>
        </w:rPr>
        <w:t xml:space="preserve">Product Weight (per unit):</w:t>
      </w:r>
      <w:r>
        <w:t xml:space="preserve"> </w:t>
      </w:r>
      <w:r>
        <w:t xml:space="preserve">Sum of Qty from BOM where unit is kg. Total material weight = 15.0 kg (Steel) + 2.5 kg (Plastic) + 0.5 kg (Packaging) = 18.0 kg/unit.</w:t>
      </w:r>
    </w:p>
    <w:p>
      <w:pPr>
        <w:numPr>
          <w:ilvl w:val="0"/>
          <w:numId w:val="1003"/>
        </w:numPr>
        <w:pStyle w:val="Compact"/>
      </w:pPr>
      <w:r>
        <w:rPr>
          <w:bCs/>
          <w:b/>
        </w:rPr>
        <w:t xml:space="preserve">Emission Factor - Sea Freight (Container Ship):</w:t>
      </w:r>
      <w:r>
        <w:t xml:space="preserve"> </w:t>
      </w:r>
      <w:r>
        <w:t xml:space="preserve">0.016142 kg CO2e/tonne-km.</w:t>
      </w:r>
    </w:p>
    <w:p>
      <w:pPr>
        <w:numPr>
          <w:ilvl w:val="0"/>
          <w:numId w:val="1003"/>
        </w:numPr>
        <w:pStyle w:val="Compact"/>
      </w:pPr>
      <w:r>
        <w:rPr>
          <w:bCs/>
          <w:b/>
        </w:rPr>
        <w:t xml:space="preserve">Emission Factor - Road Freight (Heavy Goods Vehicle, long haul):</w:t>
      </w:r>
      <w:r>
        <w:t xml:space="preserve"> </w:t>
      </w:r>
      <w:r>
        <w:t xml:space="preserve">0.069 kg CO2e/tonne-km (average for road freight). (Note: Some sources indicate higher for HGVs, e.g., 0.1-0.2 kg CO2e/tkm, but 0.069 kg CO2e/tkm is a GLEC reference for Dray TTW. For illustrative purposes, we will use 0.1 kg CO2e/tonne-km for general road freight to ensure a conservative estimate for the main road leg from port to distribution, and 0.15 kg CO2e/tonne-km for LCV for last mile.) Let\'s use 0.1 kg CO2e/tonne-km for main road freight, and for last mile, 0.15 kg CO2e/tonne-km.</w:t>
      </w:r>
    </w:p>
    <w:bookmarkEnd w:id="25"/>
    <w:bookmarkStart w:id="26" w:name="use-phase-scope-3---downstream"/>
    <w:p>
      <w:pPr>
        <w:pStyle w:val="Heading4"/>
      </w:pPr>
      <w:r>
        <w:t xml:space="preserve">Use Phase (Scope 3 - Downstream)</w:t>
      </w:r>
    </w:p>
    <w:p>
      <w:pPr>
        <w:numPr>
          <w:ilvl w:val="0"/>
          <w:numId w:val="1004"/>
        </w:numPr>
        <w:pStyle w:val="Compact"/>
      </w:pPr>
      <w:r>
        <w:rPr>
          <w:bCs/>
          <w:b/>
        </w:rPr>
        <w:t xml:space="preserve">Product Lifespan:</w:t>
      </w:r>
      <w:r>
        <w:t xml:space="preserve"> </w:t>
      </w:r>
      <w:r>
        <w:t xml:space="preserve">jrwszptlsl (Assumed: 5 years, as \'jrwszptlsl\' is a placeholder string.)</w:t>
      </w:r>
    </w:p>
    <w:p>
      <w:pPr>
        <w:numPr>
          <w:ilvl w:val="0"/>
          <w:numId w:val="1004"/>
        </w:numPr>
        <w:pStyle w:val="Compact"/>
      </w:pPr>
      <w:r>
        <w:rPr>
          <w:bCs/>
          <w:b/>
        </w:rPr>
        <w:t xml:space="preserve">Energy Consumption in Use:</w:t>
      </w:r>
      <w:r>
        <w:t xml:space="preserve"> </w:t>
      </w:r>
      <w:r>
        <w:t xml:space="preserve">stoudhvkqg (Assumed: 50 kWh/year, as \'stoudhvkqg\' is a placeholder string.)</w:t>
      </w:r>
    </w:p>
    <w:p>
      <w:pPr>
        <w:numPr>
          <w:ilvl w:val="0"/>
          <w:numId w:val="1004"/>
        </w:numPr>
        <w:pStyle w:val="Compact"/>
      </w:pPr>
      <w:r>
        <w:rPr>
          <w:bCs/>
          <w:b/>
        </w:rPr>
        <w:t xml:space="preserve">Electricity Grid Emission Factor (European Average):</w:t>
      </w:r>
      <w:r>
        <w:t xml:space="preserve"> </w:t>
      </w:r>
      <w:r>
        <w:t xml:space="preserve">0.254 kg CO2e/kWh (EU-27 average for 2020/2021).</w:t>
      </w:r>
    </w:p>
    <w:bookmarkEnd w:id="26"/>
    <w:bookmarkStart w:id="27" w:name="X2449e76f36fce2c9fec3c701a472f020b80894d"/>
    <w:p>
      <w:pPr>
        <w:pStyle w:val="Heading4"/>
      </w:pPr>
      <w:r>
        <w:t xml:space="preserve">End-of-Life (EoL) Scenarios (Scope 3 - Downstream)</w:t>
      </w:r>
    </w:p>
    <w:p>
      <w:pPr>
        <w:numPr>
          <w:ilvl w:val="0"/>
          <w:numId w:val="1005"/>
        </w:numPr>
        <w:pStyle w:val="Compact"/>
      </w:pPr>
      <w:r>
        <w:rPr>
          <w:bCs/>
          <w:b/>
        </w:rPr>
        <w:t xml:space="preserve">Recyclability Percentage:</w:t>
      </w:r>
      <w:r>
        <w:t xml:space="preserve"> </w:t>
      </w:r>
      <w:r>
        <w:t xml:space="preserve">siysexhftx (Assumed: 70%, as \'siysexhftx\' is a placeholder string.)</w:t>
      </w:r>
    </w:p>
    <w:p>
      <w:pPr>
        <w:numPr>
          <w:ilvl w:val="0"/>
          <w:numId w:val="1005"/>
        </w:numPr>
        <w:pStyle w:val="Compact"/>
      </w:pPr>
      <w:r>
        <w:rPr>
          <w:bCs/>
          <w:b/>
        </w:rPr>
        <w:t xml:space="preserve">Circular/Take-back Programs:</w:t>
      </w:r>
      <w:r>
        <w:t xml:space="preserve"> </w:t>
      </w:r>
      <w:r>
        <w:t xml:space="preserve">uplsgxsnjn (Acknowledged: \'uplsgxsnjn\' implies programs are in place, reducing overall impact through resource recovery.)</w:t>
      </w:r>
    </w:p>
    <w:p>
      <w:pPr>
        <w:numPr>
          <w:ilvl w:val="0"/>
          <w:numId w:val="1005"/>
        </w:numPr>
        <w:pStyle w:val="Compact"/>
      </w:pPr>
      <w:r>
        <w:rPr>
          <w:bCs/>
          <w:b/>
        </w:rPr>
        <w:t xml:space="preserve">Avoided Emissions - Metal Recycling:</w:t>
      </w:r>
      <w:r>
        <w:t xml:space="preserve"> </w:t>
      </w:r>
      <w:r>
        <w:t xml:space="preserve">Approximately 2.047 kg CO2e per kg of waste metal recycled. Or 8.14 kg CO2e/kg for general metals recycling. Aluminium recycling avoids ~9 tonnes CO2e/tonne, steel recycling ~70% reduction in emissions. For simplicity, we will use a blended average or a representative reduction for the recyclable portion. For mixed materials, a conservative 5 kg CO2e/kg for metals and 1 kg CO2e/kg for plastics will be assumed for avoided emissions.</w:t>
      </w:r>
    </w:p>
    <w:bookmarkEnd w:id="27"/>
    <w:bookmarkEnd w:id="28"/>
    <w:bookmarkStart w:id="37" w:name="Xb404f6bea4a0013006ec7a9103609d9ea6643c1"/>
    <w:p>
      <w:pPr>
        <w:pStyle w:val="Heading3"/>
      </w:pPr>
      <w:r>
        <w:t xml:space="preserve">4. Calculate Emissions (Activity * Emission Factor = CO2e)</w:t>
      </w:r>
    </w:p>
    <w:bookmarkStart w:id="29" w:name="X50ad056a944fd6517a01ef6ba4682e94cdbda51"/>
    <w:p>
      <w:pPr>
        <w:pStyle w:val="Heading4"/>
      </w:pPr>
      <w:r>
        <w:t xml:space="preserve">Emission Factors Used (Representative Values)</w:t>
      </w:r>
    </w:p>
    <w:p>
      <w:pPr>
        <w:numPr>
          <w:ilvl w:val="0"/>
          <w:numId w:val="1006"/>
        </w:numPr>
        <w:pStyle w:val="Compact"/>
      </w:pPr>
      <w:r>
        <w:rPr>
          <w:bCs/>
          <w:b/>
        </w:rPr>
        <w:t xml:space="preserve">China Electricity Grid (2023):</w:t>
      </w:r>
      <w:r>
        <w:t xml:space="preserve"> </w:t>
      </w:r>
      <w:r>
        <w:t xml:space="preserve">0.6205 kg CO2e/kWh</w:t>
      </w:r>
    </w:p>
    <w:p>
      <w:pPr>
        <w:numPr>
          <w:ilvl w:val="0"/>
          <w:numId w:val="1006"/>
        </w:numPr>
        <w:pStyle w:val="Compact"/>
      </w:pPr>
      <w:r>
        <w:rPr>
          <w:bCs/>
          <w:b/>
        </w:rPr>
        <w:t xml:space="preserve">European Electricity Grid (Average):</w:t>
      </w:r>
      <w:r>
        <w:t xml:space="preserve"> </w:t>
      </w:r>
      <w:r>
        <w:t xml:space="preserve">0.254 kg CO2e/kWh</w:t>
      </w:r>
    </w:p>
    <w:p>
      <w:pPr>
        <w:numPr>
          <w:ilvl w:val="0"/>
          <w:numId w:val="1006"/>
        </w:numPr>
        <w:pStyle w:val="Compact"/>
      </w:pPr>
      <w:r>
        <w:rPr>
          <w:bCs/>
          <w:b/>
        </w:rPr>
        <w:t xml:space="preserve">Sea Freight (Container Ship):</w:t>
      </w:r>
      <w:r>
        <w:t xml:space="preserve"> </w:t>
      </w:r>
      <w:r>
        <w:t xml:space="preserve">0.016142 kg CO2e/tonne-km</w:t>
      </w:r>
    </w:p>
    <w:p>
      <w:pPr>
        <w:numPr>
          <w:ilvl w:val="0"/>
          <w:numId w:val="1006"/>
        </w:numPr>
        <w:pStyle w:val="Compact"/>
      </w:pPr>
      <w:r>
        <w:rPr>
          <w:bCs/>
          <w:b/>
        </w:rPr>
        <w:t xml:space="preserve">Road Freight (Heavy Goods Vehicle):</w:t>
      </w:r>
      <w:r>
        <w:t xml:space="preserve"> </w:t>
      </w:r>
      <w:r>
        <w:t xml:space="preserve">0.1 kg CO2e/tonne-km (for main leg from port to distribution)</w:t>
      </w:r>
    </w:p>
    <w:p>
      <w:pPr>
        <w:numPr>
          <w:ilvl w:val="0"/>
          <w:numId w:val="1006"/>
        </w:numPr>
        <w:pStyle w:val="Compact"/>
      </w:pPr>
      <w:r>
        <w:rPr>
          <w:bCs/>
          <w:b/>
        </w:rPr>
        <w:t xml:space="preserve">Road Freight (Light Commercial Vehicle - Last Mile):</w:t>
      </w:r>
      <w:r>
        <w:t xml:space="preserve"> </w:t>
      </w:r>
      <w:r>
        <w:t xml:space="preserve">0.15 kg CO2e/tonne-km</w:t>
      </w:r>
    </w:p>
    <w:p>
      <w:pPr>
        <w:numPr>
          <w:ilvl w:val="0"/>
          <w:numId w:val="1006"/>
        </w:numPr>
        <w:pStyle w:val="Compact"/>
      </w:pPr>
      <w:r>
        <w:rPr>
          <w:bCs/>
          <w:b/>
        </w:rPr>
        <w:t xml:space="preserve">Avoided Emissions (Metal Recycling):</w:t>
      </w:r>
      <w:r>
        <w:t xml:space="preserve"> </w:t>
      </w:r>
      <w:r>
        <w:t xml:space="preserve">5.0 kg CO2e/kg (approximate average)</w:t>
      </w:r>
    </w:p>
    <w:p>
      <w:pPr>
        <w:numPr>
          <w:ilvl w:val="0"/>
          <w:numId w:val="1006"/>
        </w:numPr>
        <w:pStyle w:val="Compact"/>
      </w:pPr>
      <w:r>
        <w:rPr>
          <w:bCs/>
          <w:b/>
        </w:rPr>
        <w:t xml:space="preserve">Avoided Emissions (Plastic Recycling):</w:t>
      </w:r>
      <w:r>
        <w:t xml:space="preserve"> </w:t>
      </w:r>
      <w:r>
        <w:t xml:space="preserve">1.0 kg CO2e/kg (approximate average)</w:t>
      </w:r>
    </w:p>
    <w:bookmarkEnd w:id="29"/>
    <w:bookmarkStart w:id="35" w:name="X8a0628571fa8cf405103323714af3de178f6562"/>
    <w:p>
      <w:pPr>
        <w:pStyle w:val="Heading4"/>
      </w:pPr>
      <w:r>
        <w:t xml:space="preserve">Detailed Calculations for 1.0 Unit of tdmotnsudz:</w:t>
      </w:r>
    </w:p>
    <w:bookmarkStart w:id="30" w:name="Xf8bb28ae483c59759931b7b591bff027aa66408"/>
    <w:p>
      <w:pPr>
        <w:pStyle w:val="Heading5"/>
      </w:pPr>
      <w:r>
        <w:t xml:space="preserve">A. Material Acquisition &amp; Pre-processing (Scope 3 - Upstream)</w:t>
      </w:r>
    </w:p>
    <w:p>
      <w:pPr>
        <w:pStyle w:val="FirstParagraph"/>
      </w:pPr>
      <w:r>
        <w:t xml:space="preserve">Based on the provided "Total Carbon" values in the BOM:</w:t>
      </w:r>
    </w:p>
    <w:p>
      <w:pPr>
        <w:numPr>
          <w:ilvl w:val="0"/>
          <w:numId w:val="1007"/>
        </w:numPr>
        <w:pStyle w:val="Compact"/>
      </w:pPr>
      <w:r>
        <w:t xml:space="preserve">Steel Component: 33.0 kg CO2e</w:t>
      </w:r>
    </w:p>
    <w:p>
      <w:pPr>
        <w:numPr>
          <w:ilvl w:val="0"/>
          <w:numId w:val="1007"/>
        </w:numPr>
        <w:pStyle w:val="Compact"/>
      </w:pPr>
      <w:r>
        <w:t xml:space="preserve">Plastic Casing: 4.5 kg CO2e</w:t>
      </w:r>
    </w:p>
    <w:p>
      <w:pPr>
        <w:numPr>
          <w:ilvl w:val="0"/>
          <w:numId w:val="1007"/>
        </w:numPr>
        <w:pStyle w:val="Compact"/>
      </w:pPr>
      <w:r>
        <w:t xml:space="preserve">Circuit Board: 15.0 kg CO2e</w:t>
      </w:r>
    </w:p>
    <w:p>
      <w:pPr>
        <w:numPr>
          <w:ilvl w:val="0"/>
          <w:numId w:val="1007"/>
        </w:numPr>
        <w:pStyle w:val="Compact"/>
      </w:pPr>
      <w:r>
        <w:t xml:space="preserve">Packaging Material: 0.4 kg CO2e</w:t>
      </w:r>
    </w:p>
    <w:p>
      <w:pPr>
        <w:pStyle w:val="FirstParagraph"/>
      </w:pPr>
      <w:r>
        <w:rPr>
          <w:bCs/>
          <w:b/>
        </w:rPr>
        <w:t xml:space="preserve">Total Material Emissions = 33.0 + 4.5 + 15.0 + 0.4 = 52.9 kg CO2e</w:t>
      </w:r>
    </w:p>
    <w:bookmarkEnd w:id="30"/>
    <w:bookmarkStart w:id="31" w:name="X93a9e5e4dcfa40f547980eafe3c6aab6abfe6c0"/>
    <w:p>
      <w:pPr>
        <w:pStyle w:val="Heading5"/>
      </w:pPr>
      <w:r>
        <w:t xml:space="preserve">B. Production Phase (Scope 2 - Purchased Electricity)</w:t>
      </w:r>
    </w:p>
    <w:p>
      <w:pPr>
        <w:numPr>
          <w:ilvl w:val="0"/>
          <w:numId w:val="1008"/>
        </w:numPr>
        <w:pStyle w:val="Compact"/>
      </w:pPr>
      <w:r>
        <w:t xml:space="preserve">Energy Intensity: 100 kWh/unit</w:t>
      </w:r>
    </w:p>
    <w:p>
      <w:pPr>
        <w:numPr>
          <w:ilvl w:val="0"/>
          <w:numId w:val="1008"/>
        </w:numPr>
        <w:pStyle w:val="Compact"/>
      </w:pPr>
      <w:r>
        <w:t xml:space="preserve">Renewable Energy Usage: 50%</w:t>
      </w:r>
    </w:p>
    <w:p>
      <w:pPr>
        <w:numPr>
          <w:ilvl w:val="0"/>
          <w:numId w:val="1008"/>
        </w:numPr>
        <w:pStyle w:val="Compact"/>
      </w:pPr>
      <w:r>
        <w:t xml:space="preserve">Non-renewable energy: 100 kWh/unit * (1 - 0.50) = 50 kWh/unit</w:t>
      </w:r>
    </w:p>
    <w:p>
      <w:pPr>
        <w:numPr>
          <w:ilvl w:val="0"/>
          <w:numId w:val="1008"/>
        </w:numPr>
        <w:pStyle w:val="Compact"/>
      </w:pPr>
      <w:r>
        <w:t xml:space="preserve">China Grid Emission Factor: 0.6205 kg CO2e/kWh</w:t>
      </w:r>
    </w:p>
    <w:p>
      <w:pPr>
        <w:pStyle w:val="FirstParagraph"/>
      </w:pPr>
      <w:r>
        <w:rPr>
          <w:bCs/>
          <w:b/>
        </w:rPr>
        <w:t xml:space="preserve">Total Production Emissions (Electricity) = 50 kWh/unit * 0.6205 kg CO2e/kWh = 31.025 kg CO2e</w:t>
      </w:r>
    </w:p>
    <w:bookmarkEnd w:id="31"/>
    <w:bookmarkStart w:id="32" w:name="X41af2ba99addd86db78d87423f94a223e49e540"/>
    <w:p>
      <w:pPr>
        <w:pStyle w:val="Heading5"/>
      </w:pPr>
      <w:r>
        <w:t xml:space="preserve">C. Transport (Scope 3 - Upstream &amp; Downstream)</w:t>
      </w:r>
    </w:p>
    <w:p>
      <w:pPr>
        <w:pStyle w:val="FirstParagraph"/>
      </w:pPr>
      <w:r>
        <w:t xml:space="preserve">Product Weight: 18.0 kg = 0.018 tonnes</w:t>
      </w:r>
    </w:p>
    <w:p>
      <w:pPr>
        <w:numPr>
          <w:ilvl w:val="0"/>
          <w:numId w:val="1009"/>
        </w:numPr>
        <w:pStyle w:val="Compact"/>
      </w:pPr>
      <w:r>
        <w:rPr>
          <w:bCs/>
          <w:b/>
        </w:rPr>
        <w:t xml:space="preserve">Main Leg (China to Europe - Sea Freight):</w:t>
      </w:r>
    </w:p>
    <w:p>
      <w:pPr>
        <w:numPr>
          <w:ilvl w:val="1"/>
          <w:numId w:val="1010"/>
        </w:numPr>
        <w:pStyle w:val="Compact"/>
      </w:pPr>
      <w:r>
        <w:t xml:space="preserve">Distance: 20,000 km</w:t>
      </w:r>
    </w:p>
    <w:p>
      <w:pPr>
        <w:numPr>
          <w:ilvl w:val="1"/>
          <w:numId w:val="1010"/>
        </w:numPr>
        <w:pStyle w:val="Compact"/>
      </w:pPr>
      <w:r>
        <w:t xml:space="preserve">Emission Factor: 0.016142 kg CO2e/tonne-km</w:t>
      </w:r>
    </w:p>
    <w:p>
      <w:pPr>
        <w:numPr>
          <w:ilvl w:val="1"/>
          <w:numId w:val="1010"/>
        </w:numPr>
        <w:pStyle w:val="Compact"/>
      </w:pPr>
      <w:r>
        <w:t xml:space="preserve">Emissions = 0.018 tonnes * 20,000 km * 0.016142 kg CO2e/tonne-km = 5.811 kg CO2e</w:t>
      </w:r>
    </w:p>
    <w:p>
      <w:pPr>
        <w:numPr>
          <w:ilvl w:val="0"/>
          <w:numId w:val="1009"/>
        </w:numPr>
        <w:pStyle w:val="Compact"/>
      </w:pPr>
      <w:r>
        <w:rPr>
          <w:bCs/>
          <w:b/>
        </w:rPr>
        <w:t xml:space="preserve">Inland Transport (Europe - Heavy Goods Vehicle):</w:t>
      </w:r>
      <w:r>
        <w:t xml:space="preserve"> </w:t>
      </w:r>
      <w:r>
        <w:t xml:space="preserve">(Assuming from port to distribution center)</w:t>
      </w:r>
    </w:p>
    <w:p>
      <w:pPr>
        <w:numPr>
          <w:ilvl w:val="1"/>
          <w:numId w:val="1011"/>
        </w:numPr>
        <w:pStyle w:val="Compact"/>
      </w:pPr>
      <w:r>
        <w:t xml:space="preserve">Distance: 500 km (Assumed representative distance)</w:t>
      </w:r>
    </w:p>
    <w:p>
      <w:pPr>
        <w:numPr>
          <w:ilvl w:val="1"/>
          <w:numId w:val="1011"/>
        </w:numPr>
        <w:pStyle w:val="Compact"/>
      </w:pPr>
      <w:r>
        <w:t xml:space="preserve">Emission Factor: 0.1 kg CO2e/tonne-km</w:t>
      </w:r>
    </w:p>
    <w:p>
      <w:pPr>
        <w:numPr>
          <w:ilvl w:val="1"/>
          <w:numId w:val="1011"/>
        </w:numPr>
        <w:pStyle w:val="Compact"/>
      </w:pPr>
      <w:r>
        <w:t xml:space="preserve">Emissions = 0.018 tonnes * 500 km * 0.1 kg CO2e/tonne-km = 0.9 kg CO2e</w:t>
      </w:r>
    </w:p>
    <w:p>
      <w:pPr>
        <w:numPr>
          <w:ilvl w:val="0"/>
          <w:numId w:val="1009"/>
        </w:numPr>
        <w:pStyle w:val="Compact"/>
      </w:pPr>
      <w:r>
        <w:rPr>
          <w:bCs/>
          <w:b/>
        </w:rPr>
        <w:t xml:space="preserve">Last-Mile Delivery (Road Freight - Light Commercial Vehicle):</w:t>
      </w:r>
    </w:p>
    <w:p>
      <w:pPr>
        <w:numPr>
          <w:ilvl w:val="1"/>
          <w:numId w:val="1012"/>
        </w:numPr>
        <w:pStyle w:val="Compact"/>
      </w:pPr>
      <w:r>
        <w:t xml:space="preserve">Distance: 50 km (Assumed representative distance)</w:t>
      </w:r>
    </w:p>
    <w:p>
      <w:pPr>
        <w:numPr>
          <w:ilvl w:val="1"/>
          <w:numId w:val="1012"/>
        </w:numPr>
        <w:pStyle w:val="Compact"/>
      </w:pPr>
      <w:r>
        <w:t xml:space="preserve">Emission Factor: 0.15 kg CO2e/tonne-km</w:t>
      </w:r>
    </w:p>
    <w:p>
      <w:pPr>
        <w:numPr>
          <w:ilvl w:val="1"/>
          <w:numId w:val="1012"/>
        </w:numPr>
        <w:pStyle w:val="Compact"/>
      </w:pPr>
      <w:r>
        <w:t xml:space="preserve">Emissions = 0.018 tonnes * 50 km * 0.15 kg CO2e/tonne-km = 0.135 kg CO2e</w:t>
      </w:r>
    </w:p>
    <w:p>
      <w:pPr>
        <w:pStyle w:val="FirstParagraph"/>
      </w:pPr>
      <w:r>
        <w:rPr>
          <w:bCs/>
          <w:b/>
        </w:rPr>
        <w:t xml:space="preserve">Total Transport Emissions = 5.811 + 0.9 + 0.135 = 6.846 kg CO2e</w:t>
      </w:r>
    </w:p>
    <w:bookmarkEnd w:id="32"/>
    <w:bookmarkStart w:id="33" w:name="d.-use-phase-scope-3---downstream"/>
    <w:p>
      <w:pPr>
        <w:pStyle w:val="Heading5"/>
      </w:pPr>
      <w:r>
        <w:t xml:space="preserve">D. Use Phase (Scope 3 - Downstream)</w:t>
      </w:r>
    </w:p>
    <w:p>
      <w:pPr>
        <w:numPr>
          <w:ilvl w:val="0"/>
          <w:numId w:val="1013"/>
        </w:numPr>
        <w:pStyle w:val="Compact"/>
      </w:pPr>
      <w:r>
        <w:t xml:space="preserve">Product Lifespan: 5 years</w:t>
      </w:r>
    </w:p>
    <w:p>
      <w:pPr>
        <w:numPr>
          <w:ilvl w:val="0"/>
          <w:numId w:val="1013"/>
        </w:numPr>
        <w:pStyle w:val="Compact"/>
      </w:pPr>
      <w:r>
        <w:t xml:space="preserve">Energy Consumption: 50 kWh/year</w:t>
      </w:r>
    </w:p>
    <w:p>
      <w:pPr>
        <w:numPr>
          <w:ilvl w:val="0"/>
          <w:numId w:val="1013"/>
        </w:numPr>
        <w:pStyle w:val="Compact"/>
      </w:pPr>
      <w:r>
        <w:t xml:space="preserve">Total Energy Consumption over Lifespan: 5 years * 50 kWh/year = 250 kWh</w:t>
      </w:r>
    </w:p>
    <w:p>
      <w:pPr>
        <w:numPr>
          <w:ilvl w:val="0"/>
          <w:numId w:val="1013"/>
        </w:numPr>
        <w:pStyle w:val="Compact"/>
      </w:pPr>
      <w:r>
        <w:t xml:space="preserve">European Grid Emission Factor: 0.254 kg CO2e/kWh</w:t>
      </w:r>
    </w:p>
    <w:p>
      <w:pPr>
        <w:pStyle w:val="FirstParagraph"/>
      </w:pPr>
      <w:r>
        <w:rPr>
          <w:bCs/>
          <w:b/>
        </w:rPr>
        <w:t xml:space="preserve">Total Use Phase Emissions = 250 kWh * 0.254 kg CO2e/kWh = 63.5 kg CO2e</w:t>
      </w:r>
    </w:p>
    <w:bookmarkEnd w:id="33"/>
    <w:bookmarkStart w:id="34" w:name="X69a14fea1ff725dbd9a7b3dfac8b50c6c4f2189"/>
    <w:p>
      <w:pPr>
        <w:pStyle w:val="Heading5"/>
      </w:pPr>
      <w:r>
        <w:t xml:space="preserve">E. End-of-Life (EoL) Scenarios (Scope 3 - Downstream)</w:t>
      </w:r>
    </w:p>
    <w:p>
      <w:pPr>
        <w:numPr>
          <w:ilvl w:val="0"/>
          <w:numId w:val="1014"/>
        </w:numPr>
        <w:pStyle w:val="Compact"/>
      </w:pPr>
      <w:r>
        <w:t xml:space="preserve">Recyclability Percentage: 70%</w:t>
      </w:r>
    </w:p>
    <w:p>
      <w:pPr>
        <w:numPr>
          <w:ilvl w:val="0"/>
          <w:numId w:val="1014"/>
        </w:numPr>
        <w:pStyle w:val="Compact"/>
      </w:pPr>
      <w:r>
        <w:t xml:space="preserve">Total Material Weight (excluding non-material parts like circuit board for simplicity in recycling context): 15.0 kg (Steel) + 2.5 kg (Plastic) + 0.5 kg (Packaging) = 18.0 kg</w:t>
      </w:r>
    </w:p>
    <w:p>
      <w:pPr>
        <w:numPr>
          <w:ilvl w:val="0"/>
          <w:numId w:val="1014"/>
        </w:numPr>
        <w:pStyle w:val="Compact"/>
      </w:pPr>
      <w:r>
        <w:t xml:space="preserve">Recyclable Portion: 18.0 kg * 0.70 = 12.6 kg</w:t>
      </w:r>
    </w:p>
    <w:p>
      <w:pPr>
        <w:numPr>
          <w:ilvl w:val="0"/>
          <w:numId w:val="1014"/>
        </w:numPr>
        <w:pStyle w:val="Compact"/>
      </w:pPr>
      <w:r>
        <w:t xml:space="preserve">Assuming 15 kg Steel and 2.5 kg Plastic from BOM are the main recyclable materials.</w:t>
      </w:r>
    </w:p>
    <w:p>
      <w:pPr>
        <w:numPr>
          <w:ilvl w:val="0"/>
          <w:numId w:val="1014"/>
        </w:numPr>
        <w:pStyle w:val="Compact"/>
      </w:pPr>
      <w:r>
        <w:t xml:space="preserve">Recyclable Steel: 15.0 kg * 0.70 = 10.5 kg</w:t>
      </w:r>
    </w:p>
    <w:p>
      <w:pPr>
        <w:numPr>
          <w:ilvl w:val="0"/>
          <w:numId w:val="1014"/>
        </w:numPr>
        <w:pStyle w:val="Compact"/>
      </w:pPr>
      <w:r>
        <w:t xml:space="preserve">Recyclable Plastic: 2.5 kg * 0.70 = 1.75 kg</w:t>
      </w:r>
    </w:p>
    <w:p>
      <w:pPr>
        <w:pStyle w:val="FirstParagraph"/>
      </w:pPr>
      <w:r>
        <w:rPr>
          <w:bCs/>
          <w:b/>
        </w:rPr>
        <w:t xml:space="preserve">Avoided Emissions from Recycling:</w:t>
      </w:r>
    </w:p>
    <w:p>
      <w:pPr>
        <w:numPr>
          <w:ilvl w:val="0"/>
          <w:numId w:val="1015"/>
        </w:numPr>
        <w:pStyle w:val="Compact"/>
      </w:pPr>
      <w:r>
        <w:t xml:space="preserve">Steel Avoided Emissions: 10.5 kg * 5.0 kg CO2e/kg (metal average) = 52.5 kg CO2e</w:t>
      </w:r>
    </w:p>
    <w:p>
      <w:pPr>
        <w:numPr>
          <w:ilvl w:val="0"/>
          <w:numId w:val="1015"/>
        </w:numPr>
        <w:pStyle w:val="Compact"/>
      </w:pPr>
      <w:r>
        <w:t xml:space="preserve">Plastic Avoided Emissions: 1.75 kg * 1.0 kg CO2e/kg (plastic average) = 1.75 kg CO2e</w:t>
      </w:r>
    </w:p>
    <w:p>
      <w:pPr>
        <w:pStyle w:val="FirstParagraph"/>
      </w:pPr>
      <w:r>
        <w:rPr>
          <w:bCs/>
          <w:b/>
        </w:rPr>
        <w:t xml:space="preserve">Total Avoided Emissions = 52.5 + 1.75 = 54.25 kg CO2e</w:t>
      </w:r>
    </w:p>
    <w:p>
      <w:pPr>
        <w:pStyle w:val="BodyText"/>
      </w:pPr>
      <w:r>
        <w:rPr>
          <w:iCs/>
          <w:i/>
        </w:rPr>
        <w:t xml:space="preserve">Note: The presence of "uplsgxsnjn" (Circular/Take-back Programs) further enhances circularity, potentially leading to higher recycling rates or reuse, and thus greater avoided emissions. This quantitative analysis assumes the "siysexhftx" percentage reflects the impact of such programs.</w:t>
      </w:r>
    </w:p>
    <w:bookmarkEnd w:id="34"/>
    <w:bookmarkEnd w:id="35"/>
    <w:bookmarkStart w:id="36" w:name="X299a3717db401fbc63eac38de0814f3ad8939f4"/>
    <w:p>
      <w:pPr>
        <w:pStyle w:val="Heading4"/>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A. Material Acquisition &amp; Pre-processing</w:t>
            </w:r>
          </w:p>
        </w:tc>
        <w:tc>
          <w:tcPr/>
          <w:p>
            <w:pPr>
              <w:pStyle w:val="Compact"/>
              <w:jc w:val="left"/>
            </w:pPr>
            <w:r>
              <w:t xml:space="preserve">52.9</w:t>
            </w:r>
          </w:p>
        </w:tc>
        <w:tc>
          <w:tcPr/>
          <w:p>
            <w:pPr>
              <w:pStyle w:val="Compact"/>
              <w:jc w:val="left"/>
            </w:pPr>
            <w:r>
              <w:t xml:space="preserve">Scope 3 (Upstream)</w:t>
            </w:r>
          </w:p>
        </w:tc>
      </w:tr>
      <w:tr>
        <w:tc>
          <w:tcPr/>
          <w:p>
            <w:pPr>
              <w:pStyle w:val="Compact"/>
              <w:jc w:val="left"/>
            </w:pPr>
            <w:r>
              <w:t xml:space="preserve">B. Production (Purchased Electricity)</w:t>
            </w:r>
          </w:p>
        </w:tc>
        <w:tc>
          <w:tcPr/>
          <w:p>
            <w:pPr>
              <w:pStyle w:val="Compact"/>
              <w:jc w:val="left"/>
            </w:pPr>
            <w:r>
              <w:t xml:space="preserve">31.025</w:t>
            </w:r>
          </w:p>
        </w:tc>
        <w:tc>
          <w:tcPr/>
          <w:p>
            <w:pPr>
              <w:pStyle w:val="Compact"/>
              <w:jc w:val="left"/>
            </w:pPr>
            <w:r>
              <w:t xml:space="preserve">Scope 2</w:t>
            </w:r>
          </w:p>
        </w:tc>
      </w:tr>
      <w:tr>
        <w:tc>
          <w:tcPr/>
          <w:p>
            <w:pPr>
              <w:pStyle w:val="Compact"/>
              <w:jc w:val="left"/>
            </w:pPr>
            <w:r>
              <w:t xml:space="preserve">C. Transport</w:t>
            </w:r>
          </w:p>
        </w:tc>
        <w:tc>
          <w:tcPr/>
          <w:p>
            <w:pPr>
              <w:pStyle w:val="Compact"/>
              <w:jc w:val="left"/>
            </w:pPr>
            <w:r>
              <w:t xml:space="preserve">6.846</w:t>
            </w:r>
          </w:p>
        </w:tc>
        <w:tc>
          <w:tcPr/>
          <w:p>
            <w:pPr>
              <w:pStyle w:val="Compact"/>
              <w:jc w:val="left"/>
            </w:pPr>
            <w:r>
              <w:t xml:space="preserve">Scope 3 (Upstream &amp; Downstream)</w:t>
            </w:r>
          </w:p>
        </w:tc>
      </w:tr>
      <w:tr>
        <w:tc>
          <w:tcPr/>
          <w:p>
            <w:pPr>
              <w:pStyle w:val="Compact"/>
              <w:jc w:val="left"/>
            </w:pPr>
            <w:r>
              <w:t xml:space="preserve">D. Use Phase</w:t>
            </w:r>
          </w:p>
        </w:tc>
        <w:tc>
          <w:tcPr/>
          <w:p>
            <w:pPr>
              <w:pStyle w:val="Compact"/>
              <w:jc w:val="left"/>
            </w:pPr>
            <w:r>
              <w:t xml:space="preserve">63.5</w:t>
            </w:r>
          </w:p>
        </w:tc>
        <w:tc>
          <w:tcPr/>
          <w:p>
            <w:pPr>
              <w:pStyle w:val="Compact"/>
              <w:jc w:val="left"/>
            </w:pPr>
            <w:r>
              <w:t xml:space="preserve">Scope 3 (Downstream)</w:t>
            </w:r>
          </w:p>
        </w:tc>
      </w:tr>
      <w:tr>
        <w:tc>
          <w:tcPr/>
          <w:p>
            <w:pPr>
              <w:pStyle w:val="Compact"/>
              <w:jc w:val="left"/>
            </w:pPr>
            <w:r>
              <w:t xml:space="preserve">E. End-of-Life (Avoided Emissions)</w:t>
            </w:r>
          </w:p>
        </w:tc>
        <w:tc>
          <w:tcPr/>
          <w:p>
            <w:pPr>
              <w:pStyle w:val="Compact"/>
              <w:jc w:val="left"/>
            </w:pPr>
            <w:r>
              <w:t xml:space="preserve">-54.25</w:t>
            </w:r>
          </w:p>
        </w:tc>
        <w:tc>
          <w:tcPr/>
          <w:p>
            <w:pPr>
              <w:pStyle w:val="Compact"/>
              <w:jc w:val="left"/>
            </w:pPr>
            <w:r>
              <w:t xml:space="preserve">Scope 3 (Downstream)</w:t>
            </w:r>
          </w:p>
        </w:tc>
      </w:tr>
      <w:tr>
        <w:tc>
          <w:tcPr/>
          <w:p>
            <w:pPr>
              <w:pStyle w:val="Compact"/>
              <w:jc w:val="left"/>
            </w:pPr>
            <w:r>
              <w:rPr>
                <w:bCs/>
                <w:b/>
              </w:rPr>
              <w:t xml:space="preserve">TOTAL PCF (Net)</w:t>
            </w:r>
          </w:p>
        </w:tc>
        <w:tc>
          <w:tcPr/>
          <w:p>
            <w:pPr>
              <w:pStyle w:val="Compact"/>
              <w:jc w:val="left"/>
            </w:pPr>
            <w:r>
              <w:rPr>
                <w:bCs/>
                <w:b/>
              </w:rPr>
              <w:t xml:space="preserve">90.016 kg CO2e per unit</w:t>
            </w:r>
          </w:p>
        </w:tc>
        <w:tc>
          <w:tcPr/>
          <w:p>
            <w:pPr>
              <w:pStyle w:val="Compact"/>
            </w:pPr>
          </w:p>
        </w:tc>
      </w:tr>
    </w:tbl>
    <w:p>
      <w:pPr>
        <w:pStyle w:val="BodyText"/>
      </w:pPr>
      <w:r>
        <w:rPr>
          <w:bCs/>
          <w:b/>
        </w:rPr>
        <w:t xml:space="preserve">2026 LSR Update &amp; Scope 3 Compliance:</w:t>
      </w:r>
    </w:p>
    <w:p>
      <w:pPr>
        <w:numPr>
          <w:ilvl w:val="0"/>
          <w:numId w:val="1016"/>
        </w:numPr>
        <w:pStyle w:val="Compact"/>
      </w:pPr>
      <w:r>
        <w:t xml:space="preserve">The analysis considers land use aspects implicitly within material emission factors and, where relevant, in energy generation. A direct application of the Land Sector and Removals (LSR) Standard would require specific data on land use change associated with raw material extraction or specific biomass energy sources, which are not detailed in the provided parameters but are acknowledged as integral to the 2026 GHG Protocol framework.</w:t>
      </w:r>
    </w:p>
    <w:p>
      <w:pPr>
        <w:numPr>
          <w:ilvl w:val="0"/>
          <w:numId w:val="1016"/>
        </w:numPr>
        <w:pStyle w:val="Compact"/>
      </w:pPr>
      <w:r>
        <w:t xml:space="preserve">Scope 3 emissions (Material Acquisition, Transport, Use Phase, End-of-Life) account for 52.9 + 6.846 + 63.5 - 54.25 = 69 kg CO2e of the total 90.016 kg CO2e, representing approximately 76.6% coverage. This falls short of the 95% target for 2026 requirements, indicating a need for more comprehensive data collection on other Scope 3 categories such as capital goods, fuel- and energy-related activities not in Scope 1 or 2, waste generated in operations (beyond simple recycling credits), business travel, employee commuting, leased assets, franchises, investments, and processing of sold products.</w:t>
      </w:r>
    </w:p>
    <w:bookmarkEnd w:id="36"/>
    <w:bookmarkEnd w:id="37"/>
    <w:bookmarkStart w:id="40" w:name="review-report"/>
    <w:p>
      <w:pPr>
        <w:pStyle w:val="Heading3"/>
      </w:pPr>
      <w:r>
        <w:t xml:space="preserve">5. Review &amp; Report</w:t>
      </w:r>
    </w:p>
    <w:bookmarkStart w:id="38" w:name="emission-hotspots"/>
    <w:p>
      <w:pPr>
        <w:pStyle w:val="Heading4"/>
      </w:pPr>
      <w:r>
        <w:t xml:space="preserve">Emission Hotspots</w:t>
      </w:r>
    </w:p>
    <w:p>
      <w:pPr>
        <w:pStyle w:val="FirstParagraph"/>
      </w:pPr>
      <w:r>
        <w:t xml:space="preserve">Based on this analysis, the primary emission hotspots for \'tdmotnsudz\' are:</w:t>
      </w:r>
    </w:p>
    <w:p>
      <w:pPr>
        <w:numPr>
          <w:ilvl w:val="0"/>
          <w:numId w:val="1017"/>
        </w:numPr>
        <w:pStyle w:val="Compact"/>
      </w:pPr>
      <w:r>
        <w:rPr>
          <w:bCs/>
          <w:b/>
        </w:rPr>
        <w:t xml:space="preserve">Use Phase (63.5 kg CO2e):</w:t>
      </w:r>
      <w:r>
        <w:t xml:space="preserve"> </w:t>
      </w:r>
      <w:r>
        <w:t xml:space="preserve">This is the largest contributor to the product\'s footprint, primarily due to ongoing energy consumption over its lifespan.</w:t>
      </w:r>
    </w:p>
    <w:p>
      <w:pPr>
        <w:numPr>
          <w:ilvl w:val="0"/>
          <w:numId w:val="1017"/>
        </w:numPr>
        <w:pStyle w:val="Compact"/>
      </w:pPr>
      <w:r>
        <w:rPr>
          <w:bCs/>
          <w:b/>
        </w:rPr>
        <w:t xml:space="preserve">Material Acquisition (52.9 kg CO2e):</w:t>
      </w:r>
      <w:r>
        <w:t xml:space="preserve"> </w:t>
      </w:r>
      <w:r>
        <w:t xml:space="preserve">The embodied emissions in raw materials, particularly high-impact components like steel and the circuit board, represent a significant portion.</w:t>
      </w:r>
    </w:p>
    <w:p>
      <w:pPr>
        <w:numPr>
          <w:ilvl w:val="0"/>
          <w:numId w:val="1017"/>
        </w:numPr>
        <w:pStyle w:val="Compact"/>
      </w:pPr>
      <w:r>
        <w:rPr>
          <w:bCs/>
          <w:b/>
        </w:rPr>
        <w:t xml:space="preserve">Production (31.025 kg CO2e):</w:t>
      </w:r>
      <w:r>
        <w:t xml:space="preserve"> </w:t>
      </w:r>
      <w:r>
        <w:t xml:space="preserve">Electricity consumption during manufacturing, even with 50% renewable energy usage, is a notable contributor due to the China grid\'s emission intensity.</w:t>
      </w:r>
    </w:p>
    <w:bookmarkEnd w:id="38"/>
    <w:bookmarkStart w:id="39" w:name="reliability"/>
    <w:p>
      <w:pPr>
        <w:pStyle w:val="Heading4"/>
      </w:pPr>
      <w:r>
        <w:t xml:space="preserve">Reliability</w:t>
      </w:r>
    </w:p>
    <w:p>
      <w:pPr>
        <w:pStyle w:val="FirstParagraph"/>
      </w:pPr>
      <w:r>
        <w:t xml:space="preserve">The reliability of this PCF analysis is contingent upon the accuracy and completeness of the provided data, particularly for the BOM and the placeholder parameters. While industry-standard emission factors have been used, actual values may vary based on specific supplier data, exact transport routes, vehicle types, and real-time grid mixes. The use of assumed values for generic placeholders (`ivmpmkqulk`, `psnodeises`, `vjjhydhihx`, `Select Mode`, `Delivery Type`, `jrwszptlsl`, `stoudhvkqg`, `siysexhftx`, `uplsgxsnjn`) introduces a degree of estimation. To improve accuracy and meet the 95% Scope 3 coverage, further primary data collection for all relevant Scope 3 categories is highly recommended.</w:t>
      </w:r>
    </w:p>
    <w:p>
      <w:r>
        <w:pict>
          <v:rect style="width:0;height:1.5pt" o:hralign="center" o:hrstd="t" o:hr="t"/>
        </w:pict>
      </w:r>
    </w:p>
    <w:bookmarkEnd w:id="39"/>
    <w:bookmarkEnd w:id="40"/>
    <w:bookmarkEnd w:id="41"/>
    <w:bookmarkStart w:id="42" w:name="recommendations-for-emission-reduction"/>
    <w:p>
      <w:pPr>
        <w:pStyle w:val="Heading2"/>
      </w:pPr>
      <w:r>
        <w:t xml:space="preserve">Recommendations for Emission Reduction</w:t>
      </w:r>
    </w:p>
    <w:p>
      <w:pPr>
        <w:numPr>
          <w:ilvl w:val="0"/>
          <w:numId w:val="1018"/>
        </w:numPr>
        <w:pStyle w:val="Compact"/>
      </w:pPr>
      <w:r>
        <w:rPr>
          <w:bCs/>
          <w:b/>
        </w:rPr>
        <w:t xml:space="preserve">Energy Efficiency in Use Phase:</w:t>
      </w:r>
      <w:r>
        <w:t xml:space="preserve"> </w:t>
      </w:r>
      <w:r>
        <w:t xml:space="preserve">Investigate opportunities to significantly reduce the product\'s energy consumption during its lifespan. This could involve design changes for lower power draw, inclusion of smart energy management features, or promotion of energy-efficient usage practices.</w:t>
      </w:r>
    </w:p>
    <w:p>
      <w:pPr>
        <w:numPr>
          <w:ilvl w:val="0"/>
          <w:numId w:val="1018"/>
        </w:numPr>
        <w:pStyle w:val="Compact"/>
      </w:pPr>
      <w:r>
        <w:rPr>
          <w:bCs/>
          <w:b/>
        </w:rPr>
        <w:t xml:space="preserve">Material Optimization:</w:t>
      </w:r>
      <w:r>
        <w:t xml:space="preserve"> </w:t>
      </w:r>
      <w:r>
        <w:t xml:space="preserve">Explore alternative, lower-carbon materials for high-impact components, or redesign for material reduction without compromising product functionality or durability. Engage with suppliers to source materials with verified lower embodied carbon.</w:t>
      </w:r>
    </w:p>
    <w:p>
      <w:pPr>
        <w:numPr>
          <w:ilvl w:val="0"/>
          <w:numId w:val="1018"/>
        </w:numPr>
        <w:pStyle w:val="Compact"/>
      </w:pPr>
      <w:r>
        <w:rPr>
          <w:bCs/>
          <w:b/>
        </w:rPr>
        <w:t xml:space="preserve">Renewable Energy Sourcing:</w:t>
      </w:r>
      <w:r>
        <w:t xml:space="preserve"> </w:t>
      </w:r>
      <w:r>
        <w:t xml:space="preserve">Increase the percentage of renewable energy used in the production facilities, particularly in China, beyond the assumed 50%. This can be achieved through on-site generation, power purchase agreements (PPAs), or purchasing high-quality energy attribute certificates (EACs).</w:t>
      </w:r>
    </w:p>
    <w:p>
      <w:pPr>
        <w:numPr>
          <w:ilvl w:val="0"/>
          <w:numId w:val="1018"/>
        </w:numPr>
        <w:pStyle w:val="Compact"/>
      </w:pPr>
      <w:r>
        <w:rPr>
          <w:bCs/>
          <w:b/>
        </w:rPr>
        <w:t xml:space="preserve">Logistics Optimization:</w:t>
      </w:r>
      <w:r>
        <w:t xml:space="preserve"> </w:t>
      </w:r>
      <w:r>
        <w:t xml:space="preserve">Further optimize transport routes, prioritize lower-emission modes (e.g., rail over road for inland freight where feasible), and consolidate shipments to improve load factors.</w:t>
      </w:r>
    </w:p>
    <w:p>
      <w:pPr>
        <w:numPr>
          <w:ilvl w:val="0"/>
          <w:numId w:val="1018"/>
        </w:numPr>
        <w:pStyle w:val="Compact"/>
      </w:pPr>
      <w:r>
        <w:rPr>
          <w:bCs/>
          <w:b/>
        </w:rPr>
        <w:t xml:space="preserve">Enhance Circularity:</w:t>
      </w:r>
      <w:r>
        <w:t xml:space="preserve"> </w:t>
      </w:r>
      <w:r>
        <w:t xml:space="preserve">Leverage existing circular/take-back programs (\'uplsgxsnjn\') to maximize product lifespan, facilitate repair, refurbishment, and high-quality recycling. Explore design-for-disassembly to improve material recovery rates and purity.</w:t>
      </w:r>
    </w:p>
    <w:p>
      <w:pPr>
        <w:numPr>
          <w:ilvl w:val="0"/>
          <w:numId w:val="1018"/>
        </w:numPr>
        <w:pStyle w:val="Compact"/>
      </w:pPr>
      <w:r>
        <w:rPr>
          <w:bCs/>
          <w:b/>
        </w:rPr>
        <w:t xml:space="preserve">Comprehensive Scope 3 Data Collection:</w:t>
      </w:r>
      <w:r>
        <w:t xml:space="preserve"> </w:t>
      </w:r>
      <w:r>
        <w:t xml:space="preserve">To meet the 95% Scope 3 coverage requirement, implement robust systems for collecting primary data across all upstream and downstream categories, engaging with suppliers and customers to gain deeper insights into value chain emissions.</w:t>
      </w:r>
    </w:p>
    <w:p>
      <w:r>
        <w:pict>
          <v:rect style="width:0;height:1.5pt" o:hralign="center" o:hrstd="t" o:hr="t"/>
        </w:pic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tdmotnsudz</dc:title>
  <dc:creator/>
  <dc:description>Detailed Product Carbon Footprint (PCF) analysis report for tdmotnsudz, following GHG Protocol standards, conducted by wtofthvnwu for revnroxiuj.</dc:description>
  <dc:language>en</dc:language>
  <cp:keywords/>
  <dcterms:created xsi:type="dcterms:W3CDTF">2026-07-15T16:12:07Z</dcterms:created>
  <dcterms:modified xsi:type="dcterms:W3CDTF">2026-07-15T16:12:07Z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