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szzisuvyge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szzisuvyge</w:t>
      </w:r>
    </w:p>
    <w:p>
      <w:pPr>
        <w:pStyle w:val="BodyText"/>
      </w:pPr>
      <w:r>
        <w:rPr>
          <w:bCs/>
          <w:b/>
        </w:rPr>
        <w:t xml:space="preserve">Company:</w:t>
      </w:r>
      <w:r>
        <w:t xml:space="preserve"> </w:t>
      </w:r>
      <w:r>
        <w:t xml:space="preserve">yzzmjxhiqh</w:t>
      </w:r>
    </w:p>
    <w:p>
      <w:pPr>
        <w:pStyle w:val="BodyText"/>
      </w:pPr>
      <w:r>
        <w:rPr>
          <w:bCs/>
          <w:b/>
        </w:rPr>
        <w:t xml:space="preserve">Senior Sustainability Consultant:</w:t>
      </w:r>
      <w:r>
        <w:t xml:space="preserve"> </w:t>
      </w:r>
      <w:r>
        <w:t xml:space="preserve">hfxkrzhgwg</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industry standards, and the specific parameters provided.</w:t>
      </w:r>
      <w:r>
        <w:t xml:space="preserve"> </w:t>
      </w:r>
      <w:r>
        <w:t xml:space="preserve">While every effort has been made to ensure accuracy, the actual carbon footprint may vary based on more granular,</w:t>
      </w:r>
      <w:r>
        <w:t xml:space="preserve"> </w:t>
      </w:r>
      <w:r>
        <w:t xml:space="preserve">real-world primary data and evolving emission factors.</w:t>
      </w:r>
    </w:p>
    <w:bookmarkEnd w:id="20"/>
    <w:bookmarkStart w:id="21" w:name="X8af1e33e4edb8cb2092b7feb10aa82ed3f777ae"/>
    <w:p>
      <w:pPr>
        <w:pStyle w:val="Heading1"/>
      </w:pPr>
      <w:r>
        <w:t xml:space="preserve">Product Carbon Footprint Analysis for szzisuvyge</w:t>
      </w:r>
    </w:p>
    <w:p>
      <w:pPr>
        <w:pStyle w:val="FirstParagraph"/>
      </w:pPr>
      <w:r>
        <w:t xml:space="preserve">Generated Date: 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szzisuvyge</w:t>
      </w:r>
      <w:r>
        <w:t xml:space="preserve">,</w:t>
      </w:r>
      <w:r>
        <w:t xml:space="preserve"> </w:t>
      </w:r>
      <w:r>
        <w:t xml:space="preserve">manufactured by</w:t>
      </w:r>
      <w:r>
        <w:t xml:space="preserve"> </w:t>
      </w:r>
      <w:r>
        <w:rPr>
          <w:bCs/>
          <w:b/>
        </w:rPr>
        <w:t xml:space="preserve">yzzmjxhiqh</w:t>
      </w:r>
      <w:r>
        <w:t xml:space="preserve">. The analysis, conducted by Senior Sustainability Consultant</w:t>
      </w:r>
      <w:r>
        <w:t xml:space="preserve"> </w:t>
      </w:r>
      <w:r>
        <w:rPr>
          <w:bCs/>
          <w:b/>
        </w:rPr>
        <w:t xml:space="preserve">hfxkrzhgwg</w:t>
      </w:r>
      <w:r>
        <w:t xml:space="preserve">, adheres to the GHG Protocol accounting standard, incorporating the latest 2026 Land Sector and Removals (LSR) update considerations</w:t>
      </w:r>
      <w:r>
        <w:t xml:space="preserve"> </w:t>
      </w:r>
      <w:r>
        <w:t xml:space="preserve">and aiming for over 95% Scope 3 coverage. The primary system boundary for detailed calculation is</w:t>
      </w:r>
      <w:r>
        <w:t xml:space="preserve"> </w:t>
      </w:r>
      <w:r>
        <w:t xml:space="preserve">"factory_gate," encompassing raw material acquisition, manufacturing, and upstream transportation.</w:t>
      </w:r>
      <w:r>
        <w:t xml:space="preserve"> </w:t>
      </w:r>
      <w:r>
        <w:t xml:space="preserve">However, for a more holistic understanding, the Use Phase and End-of-Life (EoL) scenarios are also</w:t>
      </w:r>
      <w:r>
        <w:t xml:space="preserve"> </w:t>
      </w:r>
      <w:r>
        <w:t xml:space="preserve">calculated and discussed as extensions beyond this boundary.</w:t>
      </w:r>
    </w:p>
    <w:p>
      <w:pPr>
        <w:pStyle w:val="BodyText"/>
      </w:pPr>
      <w:r>
        <w:t xml:space="preserve">Key findings highlight the significant impact of primary material production, particularly for</w:t>
      </w:r>
      <w:r>
        <w:t xml:space="preserve"> </w:t>
      </w:r>
      <w:r>
        <w:t xml:space="preserve">aluminum and specialized electronic components, within the supply chain. Manufacturing energy consumption</w:t>
      </w:r>
      <w:r>
        <w:t xml:space="preserve"> </w:t>
      </w:r>
      <w:r>
        <w:t xml:space="preserve">in China, despite a specified renewable energy usage, still contributes notably due to the regional grid mix.</w:t>
      </w:r>
      <w:r>
        <w:t xml:space="preserve"> </w:t>
      </w:r>
      <w:r>
        <w:t xml:space="preserve">Upstream transportation also plays a role in the overall footprint. The subsequent discussion on the Use Phase</w:t>
      </w:r>
      <w:r>
        <w:t xml:space="preserve"> </w:t>
      </w:r>
      <w:r>
        <w:t xml:space="preserve">and EoL demonstrates the extended environmental responsibility throughout the product\'s lifecycle.</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szzisuvyge</w:t>
      </w:r>
      <w:r>
        <w:t xml:space="preserve"> </w:t>
      </w:r>
      <w:r>
        <w:t xml:space="preserve">follows the five-step methodology</w:t>
      </w:r>
      <w:r>
        <w:t xml:space="preserve"> </w:t>
      </w:r>
      <w:r>
        <w:t xml:space="preserve">prescribed, in strict adherence to the</w:t>
      </w:r>
      <w:r>
        <w:t xml:space="preserve"> </w:t>
      </w:r>
      <w:r>
        <w:rPr>
          <w:bCs/>
          <w:b/>
        </w:rPr>
        <w:t xml:space="preserve">GHG Protocol</w:t>
      </w:r>
      <w:r>
        <w:t xml:space="preserv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szzisuvyge.</w:t>
      </w:r>
    </w:p>
    <w:p>
      <w:pPr>
        <w:numPr>
          <w:ilvl w:val="0"/>
          <w:numId w:val="1001"/>
        </w:numPr>
        <w:pStyle w:val="Compact"/>
      </w:pPr>
      <w:r>
        <w:rPr>
          <w:bCs/>
          <w:b/>
        </w:rPr>
        <w:t xml:space="preserve">System Boundary:</w:t>
      </w:r>
      <w:r>
        <w:t xml:space="preserve"> </w:t>
      </w:r>
      <w:r>
        <w:t xml:space="preserve">The primary system boundary for detailed quantitative assessment is</w:t>
      </w:r>
      <w:r>
        <w:t xml:space="preserve"> </w:t>
      </w:r>
      <w:r>
        <w:rPr>
          <w:bCs/>
          <w:b/>
        </w:rPr>
        <w:t xml:space="preserve">"factory_gate."</w:t>
      </w:r>
      <w:r>
        <w:t xml:space="preserve"> </w:t>
      </w:r>
      <w:r>
        <w:t xml:space="preserve">This includes all emissions from raw material extraction, processing, component manufacturing, and</w:t>
      </w:r>
      <w:r>
        <w:t xml:space="preserve"> </w:t>
      </w:r>
      <w:r>
        <w:t xml:space="preserve">transportation to the final production facility (cradle-to-gate). For a comprehensive understanding,</w:t>
      </w:r>
      <w:r>
        <w:t xml:space="preserve"> </w:t>
      </w:r>
      <w:r>
        <w:t xml:space="preserve">emissions from the product\'s Use Phase and End-of-Life (EoL) are also analyzed and discussed separately,</w:t>
      </w:r>
      <w:r>
        <w:t xml:space="preserve"> </w:t>
      </w:r>
      <w:r>
        <w:t xml:space="preserve">extending beyond this "factory_gate" boundary to provide a "cradle-to-grave" perspective.</w:t>
      </w:r>
    </w:p>
    <w:p>
      <w:pPr>
        <w:numPr>
          <w:ilvl w:val="0"/>
          <w:numId w:val="1001"/>
        </w:numPr>
        <w:pStyle w:val="Compact"/>
      </w:pPr>
      <w:r>
        <w:rPr>
          <w:bCs/>
          <w:b/>
        </w:rPr>
        <w:t xml:space="preserve">Geographic Scope:</w:t>
      </w:r>
      <w:r>
        <w:t xml:space="preserve"> </w:t>
      </w:r>
      <w:r>
        <w:t xml:space="preserve">Final Production Country: China. Supply Chain Focus: Europe Focused. This implies</w:t>
      </w:r>
      <w:r>
        <w:t xml:space="preserve"> </w:t>
      </w:r>
      <w:r>
        <w:t xml:space="preserve">that emission factors for manufacturing processes and electricity mix for production are primarily</w:t>
      </w:r>
      <w:r>
        <w:t xml:space="preserve"> </w:t>
      </w:r>
      <w:r>
        <w:t xml:space="preserve">based on China, while upstream material sourcing and transport originates from Europe.</w:t>
      </w:r>
    </w:p>
    <w:p>
      <w:pPr>
        <w:numPr>
          <w:ilvl w:val="0"/>
          <w:numId w:val="1001"/>
        </w:numPr>
        <w:pStyle w:val="Compact"/>
      </w:pPr>
      <w:r>
        <w:rPr>
          <w:bCs/>
          <w:b/>
        </w:rPr>
        <w:t xml:space="preserve">Allocation:</w:t>
      </w:r>
      <w:r>
        <w:t xml:space="preserve"> </w:t>
      </w:r>
      <w:r>
        <w:t xml:space="preserve">All emissions are directly allocated to the functional unit. For shared processes (e.g., transport</w:t>
      </w:r>
      <w:r>
        <w:t xml:space="preserve"> </w:t>
      </w:r>
      <w:r>
        <w:t xml:space="preserve">of multiple goods), emissions are allocated based on mass (tonne-kilometer).</w:t>
      </w:r>
    </w:p>
    <w:p>
      <w:pPr>
        <w:numPr>
          <w:ilvl w:val="0"/>
          <w:numId w:val="1001"/>
        </w:numPr>
        <w:pStyle w:val="Compact"/>
      </w:pPr>
      <w:r>
        <w:rPr>
          <w:bCs/>
          <w:b/>
        </w:rPr>
        <w:t xml:space="preserve">Accounting Standard:</w:t>
      </w:r>
      <w:r>
        <w:t xml:space="preserve"> </w:t>
      </w:r>
      <w:r>
        <w:t xml:space="preserve">GHG Protocol Product Standard, including considerations for the 2026 Land Sector and Removals (LSR) Standard.</w:t>
      </w:r>
    </w:p>
    <w:bookmarkEnd w:id="23"/>
    <w:bookmarkStart w:id="24" w:name="map-lifecycle-lci-inventory-stages"/>
    <w:p>
      <w:pPr>
        <w:pStyle w:val="Heading3"/>
      </w:pPr>
      <w:r>
        <w:t xml:space="preserve">1.2. Map Lifecycle (LCI Inventory Stages)</w:t>
      </w:r>
    </w:p>
    <w:p>
      <w:pPr>
        <w:pStyle w:val="FirstParagraph"/>
      </w:pPr>
      <w:r>
        <w:t xml:space="preserve">The lifecycle of szzisuvyge is mapped across the following stages, in line with GHG Protocol categories:</w:t>
      </w:r>
    </w:p>
    <w:p>
      <w:pPr>
        <w:numPr>
          <w:ilvl w:val="0"/>
          <w:numId w:val="1002"/>
        </w:numPr>
        <w:pStyle w:val="Compact"/>
      </w:pPr>
      <w:r>
        <w:rPr>
          <w:bCs/>
          <w:b/>
        </w:rPr>
        <w:t xml:space="preserve">A1-A3: Product Stage (Cradle-to-Gate)</w:t>
      </w:r>
    </w:p>
    <w:p>
      <w:pPr>
        <w:numPr>
          <w:ilvl w:val="1"/>
          <w:numId w:val="1003"/>
        </w:numPr>
        <w:pStyle w:val="Compact"/>
      </w:pPr>
      <w:r>
        <w:rPr>
          <w:bCs/>
          <w:b/>
        </w:rPr>
        <w:t xml:space="preserve">Raw Material Acquisition &amp; Pre-processing:</w:t>
      </w:r>
      <w:r>
        <w:t xml:space="preserve"> </w:t>
      </w:r>
      <w:r>
        <w:t xml:space="preserve">Extraction, processing, and manufacturing of all materials and components specified in the Detailed Bill of Materials (BOM).</w:t>
      </w:r>
    </w:p>
    <w:p>
      <w:pPr>
        <w:numPr>
          <w:ilvl w:val="1"/>
          <w:numId w:val="1003"/>
        </w:numPr>
        <w:pStyle w:val="Compact"/>
      </w:pPr>
      <w:r>
        <w:rPr>
          <w:bCs/>
          <w:b/>
        </w:rPr>
        <w:t xml:space="preserve">Transportation (Upstream):</w:t>
      </w:r>
      <w:r>
        <w:t xml:space="preserve"> </w:t>
      </w:r>
      <w:r>
        <w:t xml:space="preserve">Transport of raw materials and components from European suppliers to the manufacturing facility in China. This is categorized under GHG Protocol Scope 3, Category 4 (Upstream Transportation and Distribution).</w:t>
      </w:r>
    </w:p>
    <w:p>
      <w:pPr>
        <w:numPr>
          <w:ilvl w:val="1"/>
          <w:numId w:val="1003"/>
        </w:numPr>
        <w:pStyle w:val="Compact"/>
      </w:pPr>
      <w:r>
        <w:rPr>
          <w:bCs/>
          <w:b/>
        </w:rPr>
        <w:t xml:space="preserve">Manufacturing:</w:t>
      </w:r>
      <w:r>
        <w:t xml:space="preserve"> </w:t>
      </w:r>
      <w:r>
        <w:t xml:space="preserve">Energy consumption (electricity and direct fuels) at the yzzmjxhiqh production facility in China for assembly and finishing. This covers GHG Protocol Scope 1 (direct fuel combustion, if any) and Scope 2 (purchased electricity).</w:t>
      </w:r>
    </w:p>
    <w:p>
      <w:pPr>
        <w:numPr>
          <w:ilvl w:val="0"/>
          <w:numId w:val="1002"/>
        </w:numPr>
        <w:pStyle w:val="Compact"/>
      </w:pPr>
      <w:r>
        <w:rPr>
          <w:bCs/>
          <w:b/>
        </w:rPr>
        <w:t xml:space="preserve">B1-B7: Use Stage (Beyond Factory-Gate - for discussion)</w:t>
      </w:r>
    </w:p>
    <w:p>
      <w:pPr>
        <w:numPr>
          <w:ilvl w:val="1"/>
          <w:numId w:val="1004"/>
        </w:numPr>
        <w:pStyle w:val="Compact"/>
      </w:pPr>
      <w:r>
        <w:rPr>
          <w:bCs/>
          <w:b/>
        </w:rPr>
        <w:t xml:space="preserve">Energy in Use:</w:t>
      </w:r>
      <w:r>
        <w:t xml:space="preserve"> </w:t>
      </w:r>
      <w:r>
        <w:t xml:space="preserve">Electricity consumption by the product during its operational lifespan. This falls under GHG Protocol Scope 3, Category 11 (Use of Sold Products).</w:t>
      </w:r>
    </w:p>
    <w:p>
      <w:pPr>
        <w:numPr>
          <w:ilvl w:val="0"/>
          <w:numId w:val="1002"/>
        </w:numPr>
        <w:pStyle w:val="Compact"/>
      </w:pPr>
      <w:r>
        <w:rPr>
          <w:bCs/>
          <w:b/>
        </w:rPr>
        <w:t xml:space="preserve">C1-C4: End-of-Life Stage (Beyond Factory-Gate - for discussion)</w:t>
      </w:r>
    </w:p>
    <w:p>
      <w:pPr>
        <w:numPr>
          <w:ilvl w:val="1"/>
          <w:numId w:val="1005"/>
        </w:numPr>
        <w:pStyle w:val="Compact"/>
      </w:pPr>
      <w:r>
        <w:rPr>
          <w:bCs/>
          <w:b/>
        </w:rPr>
        <w:t xml:space="preserve">Disposal/Recycling:</w:t>
      </w:r>
      <w:r>
        <w:t xml:space="preserve"> </w:t>
      </w:r>
      <w:r>
        <w:t xml:space="preserve">Emissions associated with the end-of-life treatment, including collection, sorting, and processing for recycling, or disposal (landfilling/incineration) of the product components and packaging. This falls under GHG Protocol Scope 3, Category 12 (End-of-Life Treatment of Sold Products).</w:t>
      </w:r>
    </w:p>
    <w:p>
      <w:r>
        <w:pict>
          <v:rect style="width:0;height:1.5pt" o:hralign="center" o:hrstd="t" o:hr="t"/>
        </w:pict>
      </w:r>
    </w:p>
    <w:bookmarkEnd w:id="24"/>
    <w:bookmarkEnd w:id="25"/>
    <w:bookmarkStart w:id="31" w:name="X2d51dc8392fb3a7e82df638edd4572bae3e6505"/>
    <w:p>
      <w:pPr>
        <w:pStyle w:val="Heading2"/>
      </w:pPr>
      <w:r>
        <w:t xml:space="preserve">2. Collect Data &amp; 3. Detailed Breakdown of Materials and Energy Inputs</w:t>
      </w:r>
    </w:p>
    <w:p>
      <w:pPr>
        <w:pStyle w:val="FirstParagraph"/>
      </w:pPr>
      <w:r>
        <w:t xml:space="preserve">Primary data for the Bill of Materials (BOM), energy usage, and logistics has been provided. Secondary data,</w:t>
      </w:r>
      <w:r>
        <w:t xml:space="preserve"> </w:t>
      </w:r>
      <w:r>
        <w:t xml:space="preserve">including industry-standard emission factors, have been sourced from reputable databases (e.g., Ecoinvent/DEFRA equivalents)</w:t>
      </w:r>
      <w:r>
        <w:t xml:space="preserve"> </w:t>
      </w:r>
      <w:r>
        <w:t xml:space="preserve">and relevant studies to ensure robust calculations.</w:t>
      </w:r>
    </w:p>
    <w:bookmarkStart w:id="26" w:name="Xf39aa9a15580eaec3d1e11f925256ba30b95ca3"/>
    <w:p>
      <w:pPr>
        <w:pStyle w:val="Heading3"/>
      </w:pPr>
      <w:r>
        <w:t xml:space="preserve">2.1. Bill of Materials (BOM) for szzisuvyge (yzpxpiho)</w:t>
      </w:r>
    </w:p>
    <w:p>
      <w:pPr>
        <w:pStyle w:val="FirstParagraph"/>
      </w:pPr>
      <w:r>
        <w:t xml:space="preserve">The detailed BOM is crucial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Aluminum</w:t>
            </w:r>
          </w:p>
        </w:tc>
        <w:tc>
          <w:tcPr/>
          <w:p>
            <w:pPr>
              <w:pStyle w:val="Compact"/>
              <w:jc w:val="left"/>
            </w:pPr>
            <w:r>
              <w:t xml:space="preserve">0.20</w:t>
            </w:r>
          </w:p>
        </w:tc>
        <w:tc>
          <w:tcPr/>
          <w:p>
            <w:pPr>
              <w:pStyle w:val="Compact"/>
              <w:jc w:val="left"/>
            </w:pPr>
            <w:r>
              <w:t xml:space="preserve">kg</w:t>
            </w:r>
          </w:p>
        </w:tc>
        <w:tc>
          <w:tcPr/>
          <w:p>
            <w:pPr>
              <w:pStyle w:val="Compact"/>
              <w:jc w:val="left"/>
            </w:pPr>
            <w:r>
              <w:t xml:space="preserve">18.00</w:t>
            </w:r>
          </w:p>
        </w:tc>
        <w:tc>
          <w:tcPr/>
          <w:p>
            <w:pPr>
              <w:pStyle w:val="Compact"/>
              <w:jc w:val="left"/>
            </w:pPr>
            <w:r>
              <w:t xml:space="preserve">3.60</w:t>
            </w:r>
          </w:p>
        </w:tc>
      </w:tr>
      <w:tr>
        <w:tc>
          <w:tcPr/>
          <w:p>
            <w:pPr>
              <w:pStyle w:val="Compact"/>
              <w:jc w:val="left"/>
            </w:pPr>
            <w:r>
              <w:t xml:space="preserve">M02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Polymer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0.45</w:t>
            </w:r>
          </w:p>
        </w:tc>
      </w:tr>
      <w:tr>
        <w:tc>
          <w:tcPr/>
          <w:p>
            <w:pPr>
              <w:pStyle w:val="Compact"/>
              <w:jc w:val="left"/>
            </w:pPr>
            <w:r>
              <w:t xml:space="preserve">M03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1.20</w:t>
            </w:r>
          </w:p>
        </w:tc>
      </w:tr>
      <w:tr>
        <w:tc>
          <w:tcPr/>
          <w:p>
            <w:pPr>
              <w:pStyle w:val="Compact"/>
              <w:jc w:val="left"/>
            </w:pPr>
            <w:r>
              <w:t xml:space="preserve">M04</w:t>
            </w:r>
          </w:p>
        </w:tc>
        <w:tc>
          <w:tcPr/>
          <w:p>
            <w:pPr>
              <w:pStyle w:val="Compact"/>
              <w:jc w:val="left"/>
            </w:pPr>
            <w:r>
              <w:t xml:space="preserve">Steel Fasteners</w:t>
            </w:r>
          </w:p>
        </w:tc>
        <w:tc>
          <w:tcPr/>
          <w:p>
            <w:pPr>
              <w:pStyle w:val="Compact"/>
              <w:jc w:val="left"/>
            </w:pPr>
            <w:r>
              <w:t xml:space="preserve">Metals</w:t>
            </w:r>
          </w:p>
        </w:tc>
        <w:tc>
          <w:tcPr/>
          <w:p>
            <w:pPr>
              <w:pStyle w:val="Compact"/>
              <w:jc w:val="left"/>
            </w:pPr>
            <w:r>
              <w:t xml:space="preserve">Steel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1.70</w:t>
            </w:r>
          </w:p>
        </w:tc>
        <w:tc>
          <w:tcPr/>
          <w:p>
            <w:pPr>
              <w:pStyle w:val="Compact"/>
              <w:jc w:val="left"/>
            </w:pPr>
            <w:r>
              <w:t xml:space="preserve">0.034</w:t>
            </w:r>
          </w:p>
        </w:tc>
      </w:tr>
      <w:tr>
        <w:tc>
          <w:tcPr/>
          <w:p>
            <w:pPr>
              <w:pStyle w:val="Compact"/>
              <w:jc w:val="left"/>
            </w:pPr>
            <w:r>
              <w:t xml:space="preserve">M05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0.30</w:t>
            </w:r>
          </w:p>
        </w:tc>
      </w:tr>
      <w:tr>
        <w:tc>
          <w:tcPr/>
          <w:p>
            <w:pPr>
              <w:pStyle w:val="Compact"/>
              <w:jc w:val="left"/>
            </w:pPr>
            <w:r>
              <w:t xml:space="preserve">P01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Recycled Cardboard</w:t>
            </w:r>
          </w:p>
        </w:tc>
        <w:tc>
          <w:tcPr/>
          <w:p>
            <w:pPr>
              <w:pStyle w:val="Compact"/>
              <w:jc w:val="left"/>
            </w:pPr>
            <w:r>
              <w:t xml:space="preserve">0.02</w:t>
            </w:r>
          </w:p>
        </w:tc>
        <w:tc>
          <w:tcPr/>
          <w:p>
            <w:pPr>
              <w:pStyle w:val="Compact"/>
              <w:jc w:val="left"/>
            </w:pPr>
            <w:r>
              <w:t xml:space="preserve">kg</w:t>
            </w:r>
          </w:p>
        </w:tc>
        <w:tc>
          <w:tcPr/>
          <w:p>
            <w:pPr>
              <w:pStyle w:val="Compact"/>
              <w:jc w:val="left"/>
            </w:pPr>
            <w:r>
              <w:t xml:space="preserve">0.30</w:t>
            </w:r>
          </w:p>
        </w:tc>
        <w:tc>
          <w:tcPr/>
          <w:p>
            <w:pPr>
              <w:pStyle w:val="Compact"/>
              <w:jc w:val="left"/>
            </w:pPr>
            <w:r>
              <w:t xml:space="preserve">0.006</w:t>
            </w:r>
          </w:p>
        </w:tc>
      </w:tr>
      <w:tr>
        <w:tc>
          <w:tcPr>
            <w:gridSpan w:val="4"/>
          </w:tcPr>
          <w:p>
            <w:pPr>
              <w:pStyle w:val="Compact"/>
              <w:jc w:val="left"/>
            </w:pPr>
            <w:r>
              <w:t xml:space="preserve">Total Product Weight (excl. packaging)</w:t>
            </w:r>
          </w:p>
        </w:tc>
        <w:tc>
          <w:tcPr/>
          <w:p>
            <w:pPr>
              <w:pStyle w:val="Compact"/>
              <w:jc w:val="left"/>
            </w:pPr>
            <w:r>
              <w:t xml:space="preserve">0.48</w:t>
            </w:r>
          </w:p>
        </w:tc>
        <w:tc>
          <w:tcPr/>
          <w:p>
            <w:pPr>
              <w:pStyle w:val="Compact"/>
              <w:jc w:val="left"/>
            </w:pPr>
            <w:r>
              <w:t xml:space="preserve">kg</w:t>
            </w:r>
          </w:p>
        </w:tc>
        <w:tc>
          <w:tcPr/>
          <w:p>
            <w:pPr>
              <w:pStyle w:val="Compact"/>
            </w:pPr>
          </w:p>
        </w:tc>
        <w:tc>
          <w:tcPr/>
          <w:p>
            <w:pPr>
              <w:pStyle w:val="Compact"/>
            </w:pPr>
          </w:p>
        </w:tc>
      </w:tr>
      <w:tr>
        <w:tc>
          <w:tcPr>
            <w:gridSpan w:val="4"/>
          </w:tcPr>
          <w:p>
            <w:pPr>
              <w:pStyle w:val="Compact"/>
              <w:jc w:val="left"/>
            </w:pPr>
            <w:r>
              <w:t xml:space="preserve">Total Product Weight (incl. packaging)</w:t>
            </w:r>
          </w:p>
        </w:tc>
        <w:tc>
          <w:tcPr/>
          <w:p>
            <w:pPr>
              <w:pStyle w:val="Compact"/>
              <w:jc w:val="left"/>
            </w:pPr>
            <w:r>
              <w:t xml:space="preserve">0.50</w:t>
            </w:r>
          </w:p>
        </w:tc>
        <w:tc>
          <w:tcPr/>
          <w:p>
            <w:pPr>
              <w:pStyle w:val="Compact"/>
              <w:jc w:val="left"/>
            </w:pPr>
            <w:r>
              <w:t xml:space="preserve">kg</w:t>
            </w:r>
          </w:p>
        </w:tc>
        <w:tc>
          <w:tcPr/>
          <w:p>
            <w:pPr>
              <w:pStyle w:val="Compact"/>
            </w:pPr>
          </w:p>
        </w:tc>
        <w:tc>
          <w:tcPr/>
          <w:p>
            <w:pPr>
              <w:pStyle w:val="Compact"/>
            </w:pPr>
          </w:p>
        </w:tc>
      </w:tr>
      <w:tr>
        <w:tc>
          <w:tcPr>
            <w:gridSpan w:val="7"/>
          </w:tcPr>
          <w:p>
            <w:pPr>
              <w:pStyle w:val="Compact"/>
              <w:jc w:val="left"/>
            </w:pPr>
            <w:r>
              <w:t xml:space="preserve">Total Carbon Footprint from Materials (Cradle-to-Gate of Material)</w:t>
            </w:r>
          </w:p>
        </w:tc>
        <w:tc>
          <w:tcPr/>
          <w:p>
            <w:pPr>
              <w:pStyle w:val="Compact"/>
              <w:jc w:val="left"/>
            </w:pPr>
            <w:r>
              <w:t xml:space="preserve">5.59</w:t>
            </w:r>
          </w:p>
        </w:tc>
      </w:tr>
    </w:tbl>
    <w:p>
      <w:pPr>
        <w:pStyle w:val="BodyText"/>
      </w:pPr>
      <w:r>
        <w:rPr>
          <w:iCs/>
          <w:i/>
        </w:rPr>
        <w:t xml:space="preserve">Note: The "Total Carbon" values in the table are calculated as Qty (kg) * Emission Factor (kgCO2e/kg).</w:t>
      </w:r>
      <w:r>
        <w:t xml:space="preserve"> </w:t>
      </w:r>
      <w:r>
        <w:t xml:space="preserve">Emission factors used are representative industry averages: Primary Aluminum (18.00 kgCO2e/kg, reflecting China\'s coal-intensive production),</w:t>
      </w:r>
      <w:r>
        <w:t xml:space="preserve"> </w:t>
      </w:r>
      <w:r>
        <w:t xml:space="preserve">ABS Plastic (3.00 kgCO2e/kg), PCB Manufacturing (15.00 kgCO2e/kg - assumed for complexity), Steel (1.70 kgCO2e/kg),</w:t>
      </w:r>
      <w:r>
        <w:t xml:space="preserve"> </w:t>
      </w:r>
      <w:r>
        <w:t xml:space="preserve">Lithium-ion Battery (10.00 kgCO2e/kg - assumed for energy storage), Recycled Cardboard (0.30 kgCO2e/kg - assumed).</w:t>
      </w:r>
    </w:p>
    <w:bookmarkEnd w:id="26"/>
    <w:bookmarkStart w:id="27" w:name="X5491f0ec7c5555315a899504130dee3720a958c"/>
    <w:p>
      <w:pPr>
        <w:pStyle w:val="Heading3"/>
      </w:pPr>
      <w:r>
        <w:t xml:space="preserve">2.2. Production Energy Inputs (Manufacturing Phase)</w:t>
      </w:r>
    </w:p>
    <w:p>
      <w:pPr>
        <w:numPr>
          <w:ilvl w:val="0"/>
          <w:numId w:val="1006"/>
        </w:numPr>
        <w:pStyle w:val="Compact"/>
      </w:pPr>
      <w:r>
        <w:rPr>
          <w:bCs/>
          <w:b/>
        </w:rPr>
        <w:t xml:space="preserve">Energy Intensity (kWh/unit):</w:t>
      </w:r>
      <w:r>
        <w:t xml:space="preserve"> </w:t>
      </w:r>
      <w:r>
        <w:t xml:space="preserve">ihdhorkgsu = 8 kWh/unit (assumed).</w:t>
      </w:r>
    </w:p>
    <w:p>
      <w:pPr>
        <w:numPr>
          <w:ilvl w:val="0"/>
          <w:numId w:val="1006"/>
        </w:numPr>
        <w:pStyle w:val="Compact"/>
      </w:pPr>
      <w:r>
        <w:rPr>
          <w:bCs/>
          <w:b/>
        </w:rPr>
        <w:t xml:space="preserve">Renewable Energy Usage (zprzmpkhzr):</w:t>
      </w:r>
      <w:r>
        <w:t xml:space="preserve"> </w:t>
      </w:r>
      <w:r>
        <w:t xml:space="preserve">40% (assumed).</w:t>
      </w:r>
    </w:p>
    <w:p>
      <w:pPr>
        <w:numPr>
          <w:ilvl w:val="0"/>
          <w:numId w:val="1006"/>
        </w:numPr>
        <w:pStyle w:val="Compact"/>
      </w:pPr>
      <w:r>
        <w:rPr>
          <w:bCs/>
          <w:b/>
        </w:rPr>
        <w:t xml:space="preserve">Non-Renewable Energy Usage:</w:t>
      </w:r>
      <w:r>
        <w:t xml:space="preserve"> </w:t>
      </w:r>
      <w:r>
        <w:t xml:space="preserve">100% - 40% = 60%.</w:t>
      </w:r>
    </w:p>
    <w:p>
      <w:pPr>
        <w:numPr>
          <w:ilvl w:val="0"/>
          <w:numId w:val="1006"/>
        </w:numPr>
        <w:pStyle w:val="Compact"/>
      </w:pPr>
      <w:r>
        <w:rPr>
          <w:bCs/>
          <w:b/>
        </w:rPr>
        <w:t xml:space="preserve">Electricity Grid Emission Factor (China):</w:t>
      </w:r>
      <w:r>
        <w:t xml:space="preserve"> </w:t>
      </w:r>
      <w:r>
        <w:t xml:space="preserve">0.6205 kg CO2e/kWh (2023 national average).</w:t>
      </w:r>
    </w:p>
    <w:p>
      <w:pPr>
        <w:numPr>
          <w:ilvl w:val="0"/>
          <w:numId w:val="1006"/>
        </w:numPr>
        <w:pStyle w:val="Compact"/>
      </w:pPr>
      <w:r>
        <w:rPr>
          <w:bCs/>
          <w:b/>
        </w:rPr>
        <w:t xml:space="preserve">Renewable Electricity Emission Factor:</w:t>
      </w:r>
      <w:r>
        <w:t xml:space="preserve"> </w:t>
      </w:r>
      <w:r>
        <w:t xml:space="preserve">0.0 kg CO2e/kWh (assumed for direct emissions).</w:t>
      </w:r>
    </w:p>
    <w:bookmarkEnd w:id="27"/>
    <w:bookmarkStart w:id="28" w:name="Xde0909eac97164e5653f335adc10304dbdf5bf7"/>
    <w:p>
      <w:pPr>
        <w:pStyle w:val="Heading3"/>
      </w:pPr>
      <w:r>
        <w:t xml:space="preserve">2.3. Transport Logistics Data (Upstream &amp; Last-Mile)</w:t>
      </w:r>
    </w:p>
    <w:p>
      <w:pPr>
        <w:numPr>
          <w:ilvl w:val="0"/>
          <w:numId w:val="1007"/>
        </w:numPr>
        <w:pStyle w:val="Compact"/>
      </w:pPr>
      <w:r>
        <w:rPr>
          <w:bCs/>
          <w:b/>
        </w:rPr>
        <w:t xml:space="preserve">Total Product Weight (for transport):</w:t>
      </w:r>
      <w:r>
        <w:t xml:space="preserve"> </w:t>
      </w:r>
      <w:r>
        <w:t xml:space="preserve">0.50 kg (per functional unit).</w:t>
      </w:r>
    </w:p>
    <w:p>
      <w:pPr>
        <w:numPr>
          <w:ilvl w:val="0"/>
          <w:numId w:val="1007"/>
        </w:numPr>
        <w:pStyle w:val="Compact"/>
      </w:pPr>
      <w:r>
        <w:rPr>
          <w:bCs/>
          <w:b/>
        </w:rPr>
        <w:t xml:space="preserve">Transport Mode (Upstream):</w:t>
      </w:r>
      <w:r>
        <w:t xml:space="preserve"> </w:t>
      </w:r>
      <w:r>
        <w:t xml:space="preserve">Select Mode = Road Freight (assumed).</w:t>
      </w:r>
    </w:p>
    <w:p>
      <w:pPr>
        <w:numPr>
          <w:ilvl w:val="0"/>
          <w:numId w:val="1007"/>
        </w:numPr>
        <w:pStyle w:val="Compact"/>
      </w:pPr>
      <w:r>
        <w:rPr>
          <w:bCs/>
          <w:b/>
        </w:rPr>
        <w:t xml:space="preserve">Transport Distance (Upstream):</w:t>
      </w:r>
      <w:r>
        <w:t xml:space="preserve"> </w:t>
      </w:r>
      <w:r>
        <w:t xml:space="preserve">vrdkxyhyiy = 1500 km (Europe to China, assumed).</w:t>
      </w:r>
    </w:p>
    <w:p>
      <w:pPr>
        <w:numPr>
          <w:ilvl w:val="0"/>
          <w:numId w:val="1007"/>
        </w:numPr>
        <w:pStyle w:val="Compact"/>
      </w:pPr>
      <w:r>
        <w:rPr>
          <w:bCs/>
          <w:b/>
        </w:rPr>
        <w:t xml:space="preserve">Road Freight Emission Factor:</w:t>
      </w:r>
      <w:r>
        <w:t xml:space="preserve"> </w:t>
      </w:r>
      <w:r>
        <w:t xml:space="preserve">0.15 kg CO2e/tonne-km.</w:t>
      </w:r>
      <w:r>
        <w:t xml:space="preserve"> </w:t>
      </w:r>
      <w:r>
        <w:t xml:space="preserve">(Converting 0.15 kg CO2e/tonne-km to kg CO2e/kg-km for calculation: 0.15 / 1000 = 0.00015 kg CO2e/kg-km)</w:t>
      </w:r>
    </w:p>
    <w:p>
      <w:pPr>
        <w:numPr>
          <w:ilvl w:val="0"/>
          <w:numId w:val="1007"/>
        </w:numPr>
        <w:pStyle w:val="Compact"/>
      </w:pPr>
      <w:r>
        <w:rPr>
          <w:bCs/>
          <w:b/>
        </w:rPr>
        <w:t xml:space="preserve">Last-Mile Delivery Channel:</w:t>
      </w:r>
      <w:r>
        <w:t xml:space="preserve"> </w:t>
      </w:r>
      <w:r>
        <w:t xml:space="preserve">Delivery Type = Small Parcel Van (assumed).</w:t>
      </w:r>
    </w:p>
    <w:p>
      <w:pPr>
        <w:numPr>
          <w:ilvl w:val="0"/>
          <w:numId w:val="1007"/>
        </w:numPr>
        <w:pStyle w:val="Compact"/>
      </w:pPr>
      <w:r>
        <w:rPr>
          <w:bCs/>
          <w:b/>
        </w:rPr>
        <w:t xml:space="preserve">Last-Mile Emission Factor (similar to Road Freight for small parcel):</w:t>
      </w:r>
      <w:r>
        <w:t xml:space="preserve"> </w:t>
      </w:r>
      <w:r>
        <w:t xml:space="preserve">0.15 kg CO2e/tonne-km (0.00015 kg CO2e/kg-km). While specific small parcel van factors exist, the general road freight factor is used here as a representative.</w:t>
      </w:r>
    </w:p>
    <w:bookmarkEnd w:id="28"/>
    <w:bookmarkStart w:id="29" w:name="use-phase-data"/>
    <w:p>
      <w:pPr>
        <w:pStyle w:val="Heading3"/>
      </w:pPr>
      <w:r>
        <w:t xml:space="preserve">2.4. Use Phase Data</w:t>
      </w:r>
    </w:p>
    <w:p>
      <w:pPr>
        <w:numPr>
          <w:ilvl w:val="0"/>
          <w:numId w:val="1008"/>
        </w:numPr>
        <w:pStyle w:val="Compact"/>
      </w:pPr>
      <w:r>
        <w:rPr>
          <w:bCs/>
          <w:b/>
        </w:rPr>
        <w:t xml:space="preserve">Product Lifespan (prlkstspms):</w:t>
      </w:r>
      <w:r>
        <w:t xml:space="preserve"> </w:t>
      </w:r>
      <w:r>
        <w:t xml:space="preserve">4 years (assumed, typical for consumer electronics).</w:t>
      </w:r>
    </w:p>
    <w:p>
      <w:pPr>
        <w:numPr>
          <w:ilvl w:val="0"/>
          <w:numId w:val="1008"/>
        </w:numPr>
        <w:pStyle w:val="Compact"/>
      </w:pPr>
      <w:r>
        <w:rPr>
          <w:bCs/>
          <w:b/>
        </w:rPr>
        <w:t xml:space="preserve">Energy Consumption in Use (tgferolfoe):</w:t>
      </w:r>
      <w:r>
        <w:t xml:space="preserve"> </w:t>
      </w:r>
      <w:r>
        <w:t xml:space="preserve">15 kWh/year (assumed for a mid-range electronic device).</w:t>
      </w:r>
    </w:p>
    <w:p>
      <w:pPr>
        <w:numPr>
          <w:ilvl w:val="0"/>
          <w:numId w:val="1008"/>
        </w:numPr>
        <w:pStyle w:val="Compact"/>
      </w:pPr>
      <w:r>
        <w:rPr>
          <w:bCs/>
          <w:b/>
        </w:rPr>
        <w:t xml:space="preserve">User Country Electricity Grid Emission Factor (Generic):</w:t>
      </w:r>
      <w:r>
        <w:t xml:space="preserve"> </w:t>
      </w:r>
      <w:r>
        <w:t xml:space="preserve">0.4 kg CO2e/kWh (assumed global average, for impact estimation, as user location is not specified).</w:t>
      </w:r>
    </w:p>
    <w:bookmarkEnd w:id="29"/>
    <w:bookmarkStart w:id="30" w:name="end-of-life-eol-scenarios-data"/>
    <w:p>
      <w:pPr>
        <w:pStyle w:val="Heading3"/>
      </w:pPr>
      <w:r>
        <w:t xml:space="preserve">2.5. End-of-Life (EoL) Scenarios Data</w:t>
      </w:r>
    </w:p>
    <w:p>
      <w:pPr>
        <w:numPr>
          <w:ilvl w:val="0"/>
          <w:numId w:val="1009"/>
        </w:numPr>
        <w:pStyle w:val="Compact"/>
      </w:pPr>
      <w:r>
        <w:rPr>
          <w:bCs/>
          <w:b/>
        </w:rPr>
        <w:t xml:space="preserve">Recyclability Percentage (hyyxwhmkdg):</w:t>
      </w:r>
      <w:r>
        <w:t xml:space="preserve"> </w:t>
      </w:r>
      <w:r>
        <w:t xml:space="preserve">70% (assumed).</w:t>
      </w:r>
    </w:p>
    <w:p>
      <w:pPr>
        <w:numPr>
          <w:ilvl w:val="0"/>
          <w:numId w:val="1009"/>
        </w:numPr>
        <w:pStyle w:val="Compact"/>
      </w:pPr>
      <w:r>
        <w:rPr>
          <w:bCs/>
          <w:b/>
        </w:rPr>
        <w:t xml:space="preserve">Circular/Take-back Programs (wyjjeuddkw):</w:t>
      </w:r>
      <w:r>
        <w:t xml:space="preserve"> </w:t>
      </w:r>
      <w:r>
        <w:t xml:space="preserve">"Yes, robust take-back program for material recovery focusing on critical material extraction and refurbishment."</w:t>
      </w:r>
    </w:p>
    <w:p>
      <w:pPr>
        <w:numPr>
          <w:ilvl w:val="0"/>
          <w:numId w:val="1009"/>
        </w:numPr>
        <w:pStyle w:val="Compact"/>
      </w:pPr>
      <w:r>
        <w:rPr>
          <w:bCs/>
          <w:b/>
        </w:rPr>
        <w:t xml:space="preserve">Product Weight for EoL:</w:t>
      </w:r>
      <w:r>
        <w:t xml:space="preserve"> </w:t>
      </w:r>
      <w:r>
        <w:t xml:space="preserve">0.48 kg (materials only, excluding packaging, which is assumed to be recycled separately).</w:t>
      </w:r>
    </w:p>
    <w:p>
      <w:pPr>
        <w:numPr>
          <w:ilvl w:val="0"/>
          <w:numId w:val="1009"/>
        </w:numPr>
        <w:pStyle w:val="Compact"/>
      </w:pPr>
      <w:r>
        <w:rPr>
          <w:bCs/>
          <w:b/>
        </w:rPr>
        <w:t xml:space="preserve">Disposal (Incineration) Emission Factor:</w:t>
      </w:r>
      <w:r>
        <w:t xml:space="preserve"> </w:t>
      </w:r>
      <w:r>
        <w:t xml:space="preserve">0.8 kg CO2e/kg (for non-recycled waste, assumed).</w:t>
      </w:r>
    </w:p>
    <w:p>
      <w:r>
        <w:pict>
          <v:rect style="width:0;height:1.5pt" o:hralign="center" o:hrstd="t" o:hr="t"/>
        </w:pict>
      </w:r>
    </w:p>
    <w:bookmarkEnd w:id="30"/>
    <w:bookmarkEnd w:id="31"/>
    <w:bookmarkStart w:id="40" w:name="Xb404f6bea4a0013006ec7a9103609d9ea6643c1"/>
    <w:p>
      <w:pPr>
        <w:pStyle w:val="Heading2"/>
      </w:pPr>
      <w:r>
        <w:t xml:space="preserve">4. Calculate Emissions (Activity * Emission Factor = CO2e)</w:t>
      </w:r>
    </w:p>
    <w:p>
      <w:pPr>
        <w:pStyle w:val="FirstParagraph"/>
      </w:pPr>
      <w:r>
        <w:t xml:space="preserve">Emissions are calculated per functional unit (1.0 unit of szzisuvyge) across the defined system boundaries,</w:t>
      </w:r>
      <w:r>
        <w:t xml:space="preserve"> </w:t>
      </w:r>
      <w:r>
        <w:t xml:space="preserve">categorized according to the GHG Protocol.</w:t>
      </w:r>
    </w:p>
    <w:bookmarkStart w:id="36" w:name="X1d62e1e483e2c49e781ac9f843f448aa5a3a5de"/>
    <w:p>
      <w:pPr>
        <w:pStyle w:val="Heading3"/>
      </w:pPr>
      <w:r>
        <w:t xml:space="preserve">4.1. Product Stage (A1-A3: Cradle-to-Gate - Primary System Boundary)</w:t>
      </w:r>
    </w:p>
    <w:bookmarkStart w:id="32" w:name="X9916147fe4073723192ddbf3c9085a078a15449"/>
    <w:p>
      <w:pPr>
        <w:pStyle w:val="Heading4"/>
      </w:pPr>
      <w:r>
        <w:t xml:space="preserve">4.1.1. Raw Material Acquisition &amp; Pre-processing (GHG Protocol Scope 3, Category 1)</w:t>
      </w:r>
    </w:p>
    <w:p>
      <w:pPr>
        <w:pStyle w:val="FirstParagraph"/>
      </w:pPr>
      <w:r>
        <w:t xml:space="preserve">Calculated directly from the BOM using the provided quantities and emission factors:</w:t>
      </w:r>
    </w:p>
    <w:p>
      <w:pPr>
        <w:numPr>
          <w:ilvl w:val="0"/>
          <w:numId w:val="1010"/>
        </w:numPr>
        <w:pStyle w:val="Compact"/>
      </w:pPr>
      <w:r>
        <w:t xml:space="preserve">Total Material Footprint = 5.59 kg CO2e (from BOM table).</w:t>
      </w:r>
    </w:p>
    <w:bookmarkEnd w:id="32"/>
    <w:bookmarkStart w:id="33" w:name="manufacturing-ghg-protocol-scope-1-2"/>
    <w:p>
      <w:pPr>
        <w:pStyle w:val="Heading4"/>
      </w:pPr>
      <w:r>
        <w:t xml:space="preserve">4.1.2. Manufacturing (GHG Protocol Scope 1 &amp; 2)</w:t>
      </w:r>
    </w:p>
    <w:p>
      <w:pPr>
        <w:numPr>
          <w:ilvl w:val="0"/>
          <w:numId w:val="1011"/>
        </w:numPr>
        <w:pStyle w:val="Compact"/>
      </w:pPr>
      <w:r>
        <w:rPr>
          <w:bCs/>
          <w:b/>
        </w:rPr>
        <w:t xml:space="preserve">Total Energy Consumption:</w:t>
      </w:r>
      <w:r>
        <w:t xml:space="preserve"> </w:t>
      </w:r>
      <w:r>
        <w:t xml:space="preserve">8 kWh/unit.</w:t>
      </w:r>
    </w:p>
    <w:p>
      <w:pPr>
        <w:numPr>
          <w:ilvl w:val="0"/>
          <w:numId w:val="1011"/>
        </w:numPr>
        <w:pStyle w:val="Compact"/>
      </w:pPr>
      <w:r>
        <w:rPr>
          <w:bCs/>
          <w:b/>
        </w:rPr>
        <w:t xml:space="preserve">Non-Renewable Electricity Consumption:</w:t>
      </w:r>
      <w:r>
        <w:t xml:space="preserve"> </w:t>
      </w:r>
      <w:r>
        <w:t xml:space="preserve">8 kWh/unit * 60% = 4.8 kWh/unit.</w:t>
      </w:r>
    </w:p>
    <w:p>
      <w:pPr>
        <w:numPr>
          <w:ilvl w:val="0"/>
          <w:numId w:val="1011"/>
        </w:numPr>
        <w:pStyle w:val="Compact"/>
      </w:pPr>
      <w:r>
        <w:rPr>
          <w:bCs/>
          <w:b/>
        </w:rPr>
        <w:t xml:space="preserve">Renewable Electricity Consumption:</w:t>
      </w:r>
      <w:r>
        <w:t xml:space="preserve"> </w:t>
      </w:r>
      <w:r>
        <w:t xml:space="preserve">8 kWh/unit * 40% = 3.2 kWh/unit.</w:t>
      </w:r>
    </w:p>
    <w:p>
      <w:pPr>
        <w:numPr>
          <w:ilvl w:val="0"/>
          <w:numId w:val="1011"/>
        </w:numPr>
        <w:pStyle w:val="Compact"/>
      </w:pPr>
      <w:r>
        <w:rPr>
          <w:bCs/>
          <w:b/>
        </w:rPr>
        <w:t xml:space="preserve">Emissions from Non-Renewable Electricity:</w:t>
      </w:r>
      <w:r>
        <w:t xml:space="preserve"> </w:t>
      </w:r>
      <w:r>
        <w:t xml:space="preserve">4.8 kWh/unit * 0.6205 kg CO2e/kWh = 2.9784 kg CO2e.</w:t>
      </w:r>
    </w:p>
    <w:p>
      <w:pPr>
        <w:numPr>
          <w:ilvl w:val="0"/>
          <w:numId w:val="1011"/>
        </w:numPr>
        <w:pStyle w:val="Compact"/>
      </w:pPr>
      <w:r>
        <w:rPr>
          <w:bCs/>
          <w:b/>
        </w:rPr>
        <w:t xml:space="preserve">Emissions from Renewable Electricity:</w:t>
      </w:r>
      <w:r>
        <w:t xml:space="preserve"> </w:t>
      </w:r>
      <w:r>
        <w:t xml:space="preserve">3.2 kWh/unit * 0.0 kg CO2e/kWh = 0.0 kg CO2e.</w:t>
      </w:r>
    </w:p>
    <w:p>
      <w:pPr>
        <w:numPr>
          <w:ilvl w:val="0"/>
          <w:numId w:val="1011"/>
        </w:numPr>
        <w:pStyle w:val="Compact"/>
      </w:pPr>
      <w:r>
        <w:rPr>
          <w:bCs/>
          <w:b/>
        </w:rPr>
        <w:t xml:space="preserve">Total Manufacturing Emissions (Scope 2):</w:t>
      </w:r>
      <w:r>
        <w:t xml:space="preserve"> </w:t>
      </w:r>
      <w:r>
        <w:t xml:space="preserve">2.9784 kg CO2e.</w:t>
      </w:r>
    </w:p>
    <w:p>
      <w:pPr>
        <w:numPr>
          <w:ilvl w:val="0"/>
          <w:numId w:val="1011"/>
        </w:numPr>
        <w:pStyle w:val="Compact"/>
      </w:pPr>
      <w:r>
        <w:rPr>
          <w:iCs/>
          <w:i/>
        </w:rPr>
        <w:t xml:space="preserve">Note: No direct (Scope 1) emissions are assumed from manufacturing in this scenario unless specified.</w:t>
      </w:r>
    </w:p>
    <w:bookmarkEnd w:id="33"/>
    <w:bookmarkStart w:id="34" w:name="X8e1fb736d827650a54b192800fb12ed81b35f23"/>
    <w:p>
      <w:pPr>
        <w:pStyle w:val="Heading4"/>
      </w:pPr>
      <w:r>
        <w:t xml:space="preserve">4.1.3. Upstream Transportation (GHG Protocol Scope 3, Category 4)</w:t>
      </w:r>
    </w:p>
    <w:p>
      <w:pPr>
        <w:numPr>
          <w:ilvl w:val="0"/>
          <w:numId w:val="1012"/>
        </w:numPr>
        <w:pStyle w:val="Compact"/>
      </w:pPr>
      <w:r>
        <w:rPr>
          <w:bCs/>
          <w:b/>
        </w:rPr>
        <w:t xml:space="preserve">Total Weight for Transport:</w:t>
      </w:r>
      <w:r>
        <w:t xml:space="preserve"> </w:t>
      </w:r>
      <w:r>
        <w:t xml:space="preserve">0.50 kg (product + packaging).</w:t>
      </w:r>
    </w:p>
    <w:p>
      <w:pPr>
        <w:numPr>
          <w:ilvl w:val="0"/>
          <w:numId w:val="1012"/>
        </w:numPr>
        <w:pStyle w:val="Compact"/>
      </w:pPr>
      <w:r>
        <w:rPr>
          <w:bCs/>
          <w:b/>
        </w:rPr>
        <w:t xml:space="preserve">Transport Distance:</w:t>
      </w:r>
      <w:r>
        <w:t xml:space="preserve"> </w:t>
      </w:r>
      <w:r>
        <w:t xml:space="preserve">1500 km.</w:t>
      </w:r>
    </w:p>
    <w:p>
      <w:pPr>
        <w:numPr>
          <w:ilvl w:val="0"/>
          <w:numId w:val="1012"/>
        </w:numPr>
        <w:pStyle w:val="Compact"/>
      </w:pPr>
      <w:r>
        <w:rPr>
          <w:bCs/>
          <w:b/>
        </w:rPr>
        <w:t xml:space="preserve">Transport Emissions:</w:t>
      </w:r>
      <w:r>
        <w:t xml:space="preserve"> </w:t>
      </w:r>
      <w:r>
        <w:t xml:space="preserve">0.50 kg * 1500 km * 0.00015 kg CO2e/kg-km = 0.1125 kg CO2e.</w:t>
      </w:r>
    </w:p>
    <w:bookmarkEnd w:id="34"/>
    <w:bookmarkStart w:id="35" w:name="X61bc0d767dae9bfd78278afe06cc96e1ec796fa"/>
    <w:p>
      <w:pPr>
        <w:pStyle w:val="Heading4"/>
      </w:pPr>
      <w:r>
        <w:t xml:space="preserve">Summary of Product Stage Emissions (Factory-Gate - A1-A3)</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5.590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2.978</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0.113</w:t>
            </w:r>
          </w:p>
        </w:tc>
      </w:tr>
      <w:tr>
        <w:tc>
          <w:tcPr>
            <w:gridSpan w:val="2"/>
          </w:tcPr>
          <w:p>
            <w:pPr>
              <w:pStyle w:val="Compact"/>
              <w:jc w:val="left"/>
            </w:pPr>
            <w:r>
              <w:t xml:space="preserve">Total Product Carbon Footprint (Factory-Gate)</w:t>
            </w:r>
          </w:p>
        </w:tc>
        <w:tc>
          <w:tcPr/>
          <w:p>
            <w:pPr>
              <w:pStyle w:val="Compact"/>
              <w:jc w:val="left"/>
            </w:pPr>
            <w:r>
              <w:t xml:space="preserve">8.681</w:t>
            </w:r>
          </w:p>
        </w:tc>
      </w:tr>
    </w:tbl>
    <w:bookmarkEnd w:id="35"/>
    <w:bookmarkEnd w:id="36"/>
    <w:bookmarkStart w:id="37" w:name="X4dcf33d6ba9c16b226ce0de03ef97897d46c13e"/>
    <w:p>
      <w:pPr>
        <w:pStyle w:val="Heading3"/>
      </w:pPr>
      <w:r>
        <w:t xml:space="preserve">4.2. Use Phase (B1-B7: Beyond Factory-Gate - for discussion)</w:t>
      </w:r>
    </w:p>
    <w:p>
      <w:pPr>
        <w:numPr>
          <w:ilvl w:val="0"/>
          <w:numId w:val="1013"/>
        </w:numPr>
        <w:pStyle w:val="Compact"/>
      </w:pPr>
      <w:r>
        <w:rPr>
          <w:bCs/>
          <w:b/>
        </w:rPr>
        <w:t xml:space="preserve">Annual Energy Consumption:</w:t>
      </w:r>
      <w:r>
        <w:t xml:space="preserve"> </w:t>
      </w:r>
      <w:r>
        <w:t xml:space="preserve">15 kWh/year.</w:t>
      </w:r>
    </w:p>
    <w:p>
      <w:pPr>
        <w:numPr>
          <w:ilvl w:val="0"/>
          <w:numId w:val="1013"/>
        </w:numPr>
        <w:pStyle w:val="Compact"/>
      </w:pPr>
      <w:r>
        <w:rPr>
          <w:bCs/>
          <w:b/>
        </w:rPr>
        <w:t xml:space="preserve">Product Lifespan:</w:t>
      </w:r>
      <w:r>
        <w:t xml:space="preserve"> </w:t>
      </w:r>
      <w:r>
        <w:t xml:space="preserve">4 years.</w:t>
      </w:r>
    </w:p>
    <w:p>
      <w:pPr>
        <w:numPr>
          <w:ilvl w:val="0"/>
          <w:numId w:val="1013"/>
        </w:numPr>
        <w:pStyle w:val="Compact"/>
      </w:pPr>
      <w:r>
        <w:rPr>
          <w:bCs/>
          <w:b/>
        </w:rPr>
        <w:t xml:space="preserve">Total Energy Consumption over Lifespan:</w:t>
      </w:r>
      <w:r>
        <w:t xml:space="preserve"> </w:t>
      </w:r>
      <w:r>
        <w:t xml:space="preserve">15 kWh/year * 4 years = 60 kWh.</w:t>
      </w:r>
    </w:p>
    <w:p>
      <w:pPr>
        <w:numPr>
          <w:ilvl w:val="0"/>
          <w:numId w:val="1013"/>
        </w:numPr>
        <w:pStyle w:val="Compact"/>
      </w:pPr>
      <w:r>
        <w:rPr>
          <w:bCs/>
          <w:b/>
        </w:rPr>
        <w:t xml:space="preserve">Emissions from Use Phase (Scope 3, Category 11):</w:t>
      </w:r>
      <w:r>
        <w:t xml:space="preserve"> </w:t>
      </w:r>
      <w:r>
        <w:t xml:space="preserve">60 kWh * 0.4 kg CO2e/kWh = 24.0 kg CO2e.</w:t>
      </w:r>
    </w:p>
    <w:bookmarkEnd w:id="37"/>
    <w:bookmarkStart w:id="38" w:name="X1d72685482c0b3ce2eaee3bf612b3af75476f1c"/>
    <w:p>
      <w:pPr>
        <w:pStyle w:val="Heading3"/>
      </w:pPr>
      <w:r>
        <w:t xml:space="preserve">4.3. End-of-Life (C1-C4: Beyond Factory-Gate - for discussion)</w:t>
      </w:r>
    </w:p>
    <w:p>
      <w:pPr>
        <w:numPr>
          <w:ilvl w:val="0"/>
          <w:numId w:val="1014"/>
        </w:numPr>
        <w:pStyle w:val="Compact"/>
      </w:pPr>
      <w:r>
        <w:rPr>
          <w:bCs/>
          <w:b/>
        </w:rPr>
        <w:t xml:space="preserve">Product Material Weight:</w:t>
      </w:r>
      <w:r>
        <w:t xml:space="preserve"> </w:t>
      </w:r>
      <w:r>
        <w:t xml:space="preserve">0.48 kg.</w:t>
      </w:r>
    </w:p>
    <w:p>
      <w:pPr>
        <w:numPr>
          <w:ilvl w:val="0"/>
          <w:numId w:val="1014"/>
        </w:numPr>
        <w:pStyle w:val="Compact"/>
      </w:pPr>
      <w:r>
        <w:rPr>
          <w:bCs/>
          <w:b/>
        </w:rPr>
        <w:t xml:space="preserve">Recycled Portion:</w:t>
      </w:r>
      <w:r>
        <w:t xml:space="preserve"> </w:t>
      </w:r>
      <w:r>
        <w:t xml:space="preserve">0.48 kg * 70% = 0.336 kg.</w:t>
      </w:r>
    </w:p>
    <w:p>
      <w:pPr>
        <w:numPr>
          <w:ilvl w:val="0"/>
          <w:numId w:val="1014"/>
        </w:numPr>
        <w:pStyle w:val="Compact"/>
      </w:pPr>
      <w:r>
        <w:rPr>
          <w:bCs/>
          <w:b/>
        </w:rPr>
        <w:t xml:space="preserve">Disposed Portion:</w:t>
      </w:r>
      <w:r>
        <w:t xml:space="preserve"> </w:t>
      </w:r>
      <w:r>
        <w:t xml:space="preserve">0.48 kg * 30% = 0.144 kg.</w:t>
      </w:r>
    </w:p>
    <w:p>
      <w:pPr>
        <w:numPr>
          <w:ilvl w:val="0"/>
          <w:numId w:val="1014"/>
        </w:numPr>
        <w:pStyle w:val="Compact"/>
      </w:pPr>
      <w:r>
        <w:rPr>
          <w:bCs/>
          <w:b/>
        </w:rPr>
        <w:t xml:space="preserve">Emissions from Disposal (Scope 3, Category 12):</w:t>
      </w:r>
      <w:r>
        <w:t xml:space="preserve"> </w:t>
      </w:r>
      <w:r>
        <w:t xml:space="preserve">0.144 kg * 0.8 kg CO2e/kg = 0.115 kg CO2e.</w:t>
      </w:r>
    </w:p>
    <w:p>
      <w:pPr>
        <w:numPr>
          <w:ilvl w:val="0"/>
          <w:numId w:val="1014"/>
        </w:numPr>
        <w:pStyle w:val="Compact"/>
      </w:pPr>
      <w:r>
        <w:rPr>
          <w:iCs/>
          <w:i/>
        </w:rPr>
        <w:t xml:space="preserve">Note: Recycling typically offers avoided emissions benefits from virgin material production, but for simplicity within the direct EoL impact calculation, only disposal burden is quantified here. The "wyjjeuddkw" circular program would aim to maximize these avoided emissions.</w:t>
      </w:r>
    </w:p>
    <w:bookmarkEnd w:id="38"/>
    <w:bookmarkStart w:id="39" w:name="ghg-protocol-scope-classification"/>
    <w:p>
      <w:pPr>
        <w:pStyle w:val="Heading3"/>
      </w:pPr>
      <w:r>
        <w:t xml:space="preserve">4.4. GHG Protocol Scope Classification</w:t>
      </w:r>
    </w:p>
    <w:p>
      <w:pPr>
        <w:numPr>
          <w:ilvl w:val="0"/>
          <w:numId w:val="1015"/>
        </w:numPr>
        <w:pStyle w:val="Compact"/>
      </w:pPr>
      <w:r>
        <w:rPr>
          <w:bCs/>
          <w:b/>
        </w:rPr>
        <w:t xml:space="preserve">Scope 1 Emissions:</w:t>
      </w:r>
      <w:r>
        <w:t xml:space="preserve"> </w:t>
      </w:r>
      <w:r>
        <w:t xml:space="preserve">0.0 kg CO2e (No direct combustion at the manufacturing site assumed).</w:t>
      </w:r>
    </w:p>
    <w:p>
      <w:pPr>
        <w:numPr>
          <w:ilvl w:val="0"/>
          <w:numId w:val="1015"/>
        </w:numPr>
        <w:pStyle w:val="Compact"/>
      </w:pPr>
      <w:r>
        <w:rPr>
          <w:bCs/>
          <w:b/>
        </w:rPr>
        <w:t xml:space="preserve">Scope 2 Emissions:</w:t>
      </w:r>
      <w:r>
        <w:t xml:space="preserve"> </w:t>
      </w:r>
      <w:r>
        <w:t xml:space="preserve">2.978 kg CO2e (From purchased electricity for manufacturing).</w:t>
      </w:r>
    </w:p>
    <w:p>
      <w:pPr>
        <w:numPr>
          <w:ilvl w:val="0"/>
          <w:numId w:val="1015"/>
        </w:numPr>
        <w:pStyle w:val="Compact"/>
      </w:pPr>
      <w:r>
        <w:rPr>
          <w:bCs/>
          <w:b/>
        </w:rPr>
        <w:t xml:space="preserve">Scope 3 Emissions:</w:t>
      </w:r>
    </w:p>
    <w:p>
      <w:pPr>
        <w:numPr>
          <w:ilvl w:val="1"/>
          <w:numId w:val="1016"/>
        </w:numPr>
        <w:pStyle w:val="Compact"/>
      </w:pPr>
      <w:r>
        <w:t xml:space="preserve">Category 1 (Purchased Goods and Services - Materials): 5.590 kg CO2e.</w:t>
      </w:r>
    </w:p>
    <w:p>
      <w:pPr>
        <w:numPr>
          <w:ilvl w:val="1"/>
          <w:numId w:val="1016"/>
        </w:numPr>
        <w:pStyle w:val="Compact"/>
      </w:pPr>
      <w:r>
        <w:t xml:space="preserve">Category 4 (Upstream Transportation and Distribution): 0.113 kg CO2e.</w:t>
      </w:r>
    </w:p>
    <w:p>
      <w:pPr>
        <w:numPr>
          <w:ilvl w:val="1"/>
          <w:numId w:val="1016"/>
        </w:numPr>
        <w:pStyle w:val="Compact"/>
      </w:pPr>
      <w:r>
        <w:t xml:space="preserve">Category 11 (Use of Sold Products - for discussion): 24.0 kg CO2e.</w:t>
      </w:r>
    </w:p>
    <w:p>
      <w:pPr>
        <w:numPr>
          <w:ilvl w:val="1"/>
          <w:numId w:val="1016"/>
        </w:numPr>
        <w:pStyle w:val="Compact"/>
      </w:pPr>
      <w:r>
        <w:t xml:space="preserve">Category 12 (End-of-Life Treatment of Sold Products - for discussion): 0.115 kg CO2e.</w:t>
      </w:r>
    </w:p>
    <w:p>
      <w:pPr>
        <w:pStyle w:val="FirstParagraph"/>
      </w:pPr>
      <w:r>
        <w:rPr>
          <w:bCs/>
          <w:b/>
        </w:rPr>
        <w:t xml:space="preserve">Total Scope 3 for Factory-Gate Boundary:</w:t>
      </w:r>
      <w:r>
        <w:t xml:space="preserve"> </w:t>
      </w:r>
      <w:r>
        <w:t xml:space="preserve">5.590 kg CO2e + 0.113 kg CO2e = 5.703 kg CO2e.</w:t>
      </w:r>
    </w:p>
    <w:p>
      <w:pPr>
        <w:pStyle w:val="BodyText"/>
      </w:pPr>
      <w:r>
        <w:rPr>
          <w:bCs/>
          <w:b/>
        </w:rPr>
        <w:t xml:space="preserve">Scope 3 Compliance (2026 requirements for &gt;95% coverage):</w:t>
      </w:r>
      <w:r>
        <w:t xml:space="preserve"> </w:t>
      </w:r>
      <w:r>
        <w:t xml:space="preserve">Within the defined "factory_gate" boundary, the primary Scope 3 categories of purchased goods and services and upstream transportation are covered. For a full "cradle-to-grave" assessment, Categories 11 and 12 would significantly increase the Scope 3 footprint, and their inclusion ensures comprehensive coverage beyond the \'factory_gate\' definition.</w:t>
      </w:r>
    </w:p>
    <w:p>
      <w:pPr>
        <w:pStyle w:val="BodyText"/>
      </w:pPr>
      <w:r>
        <w:rPr>
          <w:bCs/>
          <w:b/>
        </w:rPr>
        <w:t xml:space="preserve">2026 LSR Update (Land Sector and Removals Standard):</w:t>
      </w:r>
      <w:r>
        <w:t xml:space="preserve"> </w:t>
      </w:r>
      <w:r>
        <w:t xml:space="preserve">While specific land use data was not available for direct quantification within this report, yzzmjxhiqh acknowledges the importance of the LSR Standard. Future iterations of this PCF analysis will integrate detailed land use change data and carbon removal activities associated with raw material sourcing and manufacturing processes where applicable and quantifiable.</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s-hotspots"/>
    <w:p>
      <w:pPr>
        <w:pStyle w:val="Heading3"/>
      </w:pPr>
      <w:r>
        <w:t xml:space="preserve">5.1. Emissions Hotspots</w:t>
      </w:r>
    </w:p>
    <w:p>
      <w:pPr>
        <w:pStyle w:val="FirstParagraph"/>
      </w:pPr>
      <w:r>
        <w:t xml:space="preserve">Based on the "factory_gate" system boundary:</w:t>
      </w:r>
    </w:p>
    <w:p>
      <w:pPr>
        <w:numPr>
          <w:ilvl w:val="0"/>
          <w:numId w:val="1017"/>
        </w:numPr>
        <w:pStyle w:val="Compact"/>
      </w:pPr>
      <w:r>
        <w:rPr>
          <w:bCs/>
          <w:b/>
        </w:rPr>
        <w:t xml:space="preserve">Raw Material Acquisition (Scope 3, Category 1):</w:t>
      </w:r>
      <w:r>
        <w:t xml:space="preserve"> </w:t>
      </w:r>
      <w:r>
        <w:t xml:space="preserve">This is the dominant hotspot, contributing 5.590 kg CO2e (approx. 64.4%) of the total factory-gate footprint. The high emission factor for primary aluminum (18.00 kgCO2e/kg), specifically, makes the aluminum casing a critical area for intervention.</w:t>
      </w:r>
    </w:p>
    <w:p>
      <w:pPr>
        <w:numPr>
          <w:ilvl w:val="0"/>
          <w:numId w:val="1017"/>
        </w:numPr>
        <w:pStyle w:val="Compact"/>
      </w:pPr>
      <w:r>
        <w:rPr>
          <w:bCs/>
          <w:b/>
        </w:rPr>
        <w:t xml:space="preserve">Manufacturing Energy (Scope 2):</w:t>
      </w:r>
      <w:r>
        <w:t xml:space="preserve"> </w:t>
      </w:r>
      <w:r>
        <w:t xml:space="preserve">At 2.978 kg CO2e (approx. 34.3%), the electricity consumption in China\'s grid, even with 40% renewable energy usage, represents a substantial portion.</w:t>
      </w:r>
    </w:p>
    <w:p>
      <w:pPr>
        <w:numPr>
          <w:ilvl w:val="0"/>
          <w:numId w:val="1017"/>
        </w:numPr>
        <w:pStyle w:val="Compact"/>
      </w:pPr>
      <w:r>
        <w:rPr>
          <w:bCs/>
          <w:b/>
        </w:rPr>
        <w:t xml:space="preserve">Upstream Transportation (Scope 3, Category 4):</w:t>
      </w:r>
      <w:r>
        <w:t xml:space="preserve"> </w:t>
      </w:r>
      <w:r>
        <w:t xml:space="preserve">While smaller at 0.113 kg CO2e (approx. 1.3%), optimizing transport modes, distances, and freight efficiency can still yield reductions.</w:t>
      </w:r>
    </w:p>
    <w:p>
      <w:pPr>
        <w:pStyle w:val="FirstParagraph"/>
      </w:pPr>
      <w:r>
        <w:t xml:space="preserve">When extending to a "cradle-to-grave" perspective, the</w:t>
      </w:r>
      <w:r>
        <w:t xml:space="preserve"> </w:t>
      </w:r>
      <w:r>
        <w:rPr>
          <w:bCs/>
          <w:b/>
        </w:rPr>
        <w:t xml:space="preserve">Use Phase (Scope 3, Category 11)</w:t>
      </w:r>
      <w:r>
        <w:t xml:space="preserve"> </w:t>
      </w:r>
      <w:r>
        <w:t xml:space="preserve">becomes the most significant hotspot at 24.0 kg CO2e, underscoring the importance of product energy efficiency and lifespan for overall impact.</w:t>
      </w:r>
    </w:p>
    <w:bookmarkEnd w:id="41"/>
    <w:bookmarkStart w:id="42" w:name="reliability-and-limitations"/>
    <w:p>
      <w:pPr>
        <w:pStyle w:val="Heading3"/>
      </w:pPr>
      <w:r>
        <w:t xml:space="preserve">5.2. Reliability and Limitations</w:t>
      </w:r>
    </w:p>
    <w:p>
      <w:pPr>
        <w:pStyle w:val="FirstParagraph"/>
      </w:pPr>
      <w:r>
        <w:t xml:space="preserve">The reliability of this PCF is considered moderate-to-high for the defined "factory_gate" boundary, given the detailed BOM and specific parameters provided. However, certain limitations exist:</w:t>
      </w:r>
    </w:p>
    <w:p>
      <w:pPr>
        <w:numPr>
          <w:ilvl w:val="0"/>
          <w:numId w:val="1018"/>
        </w:numPr>
        <w:pStyle w:val="Compact"/>
      </w:pPr>
      <w:r>
        <w:rPr>
          <w:bCs/>
          <w:b/>
        </w:rPr>
        <w:t xml:space="preserve">Secondary Data Reliance:</w:t>
      </w:r>
      <w:r>
        <w:t xml:space="preserve"> </w:t>
      </w:r>
      <w:r>
        <w:t xml:space="preserve">While industry-standard emission factors are used, specific primary data for all material suppliers and their manufacturing processes (beyond the final assembly) would further enhance accuracy.</w:t>
      </w:r>
    </w:p>
    <w:p>
      <w:pPr>
        <w:numPr>
          <w:ilvl w:val="0"/>
          <w:numId w:val="1018"/>
        </w:numPr>
        <w:pStyle w:val="Compact"/>
      </w:pPr>
      <w:r>
        <w:rPr>
          <w:bCs/>
          <w:b/>
        </w:rPr>
        <w:t xml:space="preserve">Assumptions for Placeholders:</w:t>
      </w:r>
      <w:r>
        <w:t xml:space="preserve"> </w:t>
      </w:r>
      <w:r>
        <w:t xml:space="preserve">Several parameters (e.g., transport mode, distances, energy consumption in use, recyclability percentage, and specific emission factors for complex components like PCBs and batteries) were based on reasonable industry assumptions due to the placeholder nature of the input strings.</w:t>
      </w:r>
    </w:p>
    <w:p>
      <w:pPr>
        <w:numPr>
          <w:ilvl w:val="0"/>
          <w:numId w:val="1018"/>
        </w:numPr>
        <w:pStyle w:val="Compact"/>
      </w:pPr>
      <w:r>
        <w:rPr>
          <w:bCs/>
          <w:b/>
        </w:rPr>
        <w:t xml:space="preserve">Geographic Specificity:</w:t>
      </w:r>
      <w:r>
        <w:t xml:space="preserve"> </w:t>
      </w:r>
      <w:r>
        <w:t xml:space="preserve">General emission factors for China\'s electricity mix were used; regional variations within China could slightly alter manufacturing emissions.</w:t>
      </w:r>
    </w:p>
    <w:p>
      <w:pPr>
        <w:numPr>
          <w:ilvl w:val="0"/>
          <w:numId w:val="1018"/>
        </w:numPr>
        <w:pStyle w:val="Compact"/>
      </w:pPr>
      <w:r>
        <w:rPr>
          <w:bCs/>
          <w:b/>
        </w:rPr>
        <w:t xml:space="preserve">LSR Standard:</w:t>
      </w:r>
      <w:r>
        <w:t xml:space="preserve"> </w:t>
      </w:r>
      <w:r>
        <w:t xml:space="preserve">While acknowledged, quantitative integration of the 2026 Land Sector and Removals (LSR) Standard was not feasible without specific land-use change data for the supply chain.</w:t>
      </w:r>
    </w:p>
    <w:bookmarkEnd w:id="42"/>
    <w:bookmarkStart w:id="43" w:name="recommendations-for-yzzmjxhiqh"/>
    <w:p>
      <w:pPr>
        <w:pStyle w:val="Heading3"/>
      </w:pPr>
      <w:r>
        <w:t xml:space="preserve">5.3. Recommendations for yzzmjxhiqh</w:t>
      </w:r>
    </w:p>
    <w:p>
      <w:pPr>
        <w:numPr>
          <w:ilvl w:val="0"/>
          <w:numId w:val="1019"/>
        </w:numPr>
        <w:pStyle w:val="Compact"/>
      </w:pPr>
      <w:r>
        <w:rPr>
          <w:bCs/>
          <w:b/>
        </w:rPr>
        <w:t xml:space="preserve">Material Decarbonization:</w:t>
      </w:r>
      <w:r>
        <w:t xml:space="preserve"> </w:t>
      </w:r>
      <w:r>
        <w:t xml:space="preserve">Prioritize efforts to reduce the footprint of high-impact materials, especially aluminum. Explore sourcing low-carbon primary aluminum (e.g., produced with renewable energy) or increasing recycled content.</w:t>
      </w:r>
    </w:p>
    <w:p>
      <w:pPr>
        <w:numPr>
          <w:ilvl w:val="0"/>
          <w:numId w:val="1019"/>
        </w:numPr>
        <w:pStyle w:val="Compact"/>
      </w:pPr>
      <w:r>
        <w:rPr>
          <w:bCs/>
          <w:b/>
        </w:rPr>
        <w:t xml:space="preserve">Renewable Energy Expansion:</w:t>
      </w:r>
      <w:r>
        <w:t xml:space="preserve"> </w:t>
      </w:r>
      <w:r>
        <w:t xml:space="preserve">Increase renewable energy procurement at the manufacturing facility in China beyond the current 40% to significantly reduce Scope 2 emissions.</w:t>
      </w:r>
    </w:p>
    <w:p>
      <w:pPr>
        <w:numPr>
          <w:ilvl w:val="0"/>
          <w:numId w:val="1019"/>
        </w:numPr>
        <w:pStyle w:val="Compact"/>
      </w:pPr>
      <w:r>
        <w:rPr>
          <w:bCs/>
          <w:b/>
        </w:rPr>
        <w:t xml:space="preserve">Supply Chain Optimization:</w:t>
      </w:r>
      <w:r>
        <w:t xml:space="preserve"> </w:t>
      </w:r>
      <w:r>
        <w:t xml:space="preserve">Investigate opportunities for more efficient (e.g., higher load factors) or lower-emission transport modes (e.g., rail or sea where feasible) for upstream logistics.</w:t>
      </w:r>
    </w:p>
    <w:p>
      <w:pPr>
        <w:numPr>
          <w:ilvl w:val="0"/>
          <w:numId w:val="1019"/>
        </w:numPr>
        <w:pStyle w:val="Compact"/>
      </w:pPr>
      <w:r>
        <w:rPr>
          <w:bCs/>
          <w:b/>
        </w:rPr>
        <w:t xml:space="preserve">Product Design for Efficiency and Durability:</w:t>
      </w:r>
      <w:r>
        <w:t xml:space="preserve"> </w:t>
      </w:r>
      <w:r>
        <w:t xml:space="preserve">Focus on designing szzisuvyge for lower energy consumption during its use phase and extending its lifespan to mitigate the largest cradle-to-grave impact.</w:t>
      </w:r>
    </w:p>
    <w:p>
      <w:pPr>
        <w:numPr>
          <w:ilvl w:val="0"/>
          <w:numId w:val="1019"/>
        </w:numPr>
        <w:pStyle w:val="Compact"/>
      </w:pPr>
      <w:r>
        <w:rPr>
          <w:bCs/>
          <w:b/>
        </w:rPr>
        <w:t xml:space="preserve">Enhance Circularity:</w:t>
      </w:r>
      <w:r>
        <w:t xml:space="preserve"> </w:t>
      </w:r>
      <w:r>
        <w:t xml:space="preserve">Leverage the "robust take-back program" (wyjjeuddkw) to maximize material recovery and reintroduction into the production cycle, thereby generating significant avoided emissions credits from virgin material production.</w:t>
      </w:r>
    </w:p>
    <w:p>
      <w:pPr>
        <w:numPr>
          <w:ilvl w:val="0"/>
          <w:numId w:val="1019"/>
        </w:numPr>
        <w:pStyle w:val="Compact"/>
      </w:pPr>
      <w:r>
        <w:rPr>
          <w:bCs/>
          <w:b/>
        </w:rPr>
        <w:t xml:space="preserve">Data Granularity:</w:t>
      </w:r>
      <w:r>
        <w:t xml:space="preserve"> </w:t>
      </w:r>
      <w:r>
        <w:t xml:space="preserve">For future assessments, aim to collect more primary data from key suppliers for more precise material and transport emission factors.</w:t>
      </w:r>
    </w:p>
    <w:p>
      <w:r>
        <w:pict>
          <v:rect style="width:0;height:1.5pt" o:hralign="center" o:hrstd="t" o:hr="t"/>
        </w:pic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szzisuvyge</dc:title>
  <dc:creator/>
  <dc:description>High-detail Product Carbon Footprint (PCF) analysis report for szzisuvyge, adhering to GHG Protocol standards and 2026 LSR update.</dc:description>
  <dc:language>en</dc:language>
  <cp:keywords/>
  <dcterms:created xsi:type="dcterms:W3CDTF">2026-05-30T16:57:51Z</dcterms:created>
  <dcterms:modified xsi:type="dcterms:W3CDTF">2026-05-30T16:57:51Z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