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sywijigxtz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ywijigxtz"/>
    <w:p>
      <w:pPr>
        <w:pStyle w:val="Heading2"/>
      </w:pPr>
      <w:r>
        <w:t xml:space="preserve">For Product: sywijigxtz</w:t>
      </w:r>
    </w:p>
    <w:p>
      <w:pPr>
        <w:pStyle w:val="FirstParagraph"/>
      </w:pPr>
      <w:r>
        <w:rPr>
          <w:bCs/>
          <w:b/>
        </w:rPr>
        <w:t xml:space="preserve">Company Name:</w:t>
      </w:r>
      <w:r>
        <w:t xml:space="preserve"> </w:t>
      </w:r>
      <w:r>
        <w:t xml:space="preserve">gkzyunfxjg</w:t>
      </w:r>
    </w:p>
    <w:p>
      <w:pPr>
        <w:pStyle w:val="BodyText"/>
      </w:pPr>
      <w:r>
        <w:rPr>
          <w:bCs/>
          <w:b/>
        </w:rPr>
        <w:t xml:space="preserve">Senior Sustainability Consultant:</w:t>
      </w:r>
      <w:r>
        <w:t xml:space="preserve"> </w:t>
      </w:r>
      <w:r>
        <w:t xml:space="preserve">lvhnmwijyi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Actual emissions may vary.</w:t>
      </w:r>
    </w:p>
    <w:bookmarkEnd w:id="20"/>
    <w:bookmarkEnd w:id="21"/>
    <w:bookmarkStart w:id="23" w:name="product-carbon-footprint-analysis"/>
    <w:p>
      <w:pPr>
        <w:pStyle w:val="Heading1"/>
      </w:pPr>
      <w:r>
        <w:t xml:space="preserve">Product Carbon Footprint Analysis</w:t>
      </w:r>
    </w:p>
    <w:bookmarkStart w:id="22" w:name="product-sywijigxtz"/>
    <w:p>
      <w:pPr>
        <w:pStyle w:val="Heading2"/>
      </w:pPr>
      <w:r>
        <w:t xml:space="preserve">Product: sywijigxtz</w:t>
      </w:r>
    </w:p>
    <w:p>
      <w:pPr>
        <w:pStyle w:val="FirstParagraph"/>
      </w:pPr>
      <w:r>
        <w:t xml:space="preserve">Generated Date: May 27, 2026</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 sywijigxtz, manufactured by gkzyunfxjg. The analysis, conducted by Senior Sustainability Consultant lvhnmwijyi, adheres strictly to the Greenhouse Gas (GHG) Protocol standards, including the 2026 Land Sector and Removals (LSR) Update and ensuring at least 95% Scope 3 coverage. The assessment covers the product’s lifecycle from material acquisition to end-of-life, providing a comprehensive understanding of its environmental impact in terms of CO2e emissions. Key hotspots and recommendations for reduction are also identified.</w:t>
      </w:r>
    </w:p>
    <w:bookmarkEnd w:id="24"/>
    <w:p>
      <w:r>
        <w:pict>
          <v:rect style="width:0;height:1.5pt" o:hralign="center" o:hrstd="t" o:hr="t"/>
        </w:pict>
      </w:r>
    </w:p>
    <w:bookmarkStart w:id="28" w:name="introduction"/>
    <w:p>
      <w:pPr>
        <w:pStyle w:val="Heading2"/>
      </w:pPr>
      <w:r>
        <w:t xml:space="preserve">1. Introduction</w:t>
      </w:r>
    </w:p>
    <w:bookmarkStart w:id="25" w:name="purpose-of-the-report"/>
    <w:p>
      <w:pPr>
        <w:pStyle w:val="Heading3"/>
      </w:pPr>
      <w:r>
        <w:t xml:space="preserve">1.1. Purpose of the Report</w:t>
      </w:r>
    </w:p>
    <w:p>
      <w:pPr>
        <w:pStyle w:val="FirstParagraph"/>
      </w:pPr>
      <w:r>
        <w:t xml:space="preserve">The primary purpose of this report is to quantify the greenhouse gas emissions associated with the entire lifecycle of product sywijigxtz, enabling gkzyunfxjg to identify emission hotspots, establish a baseline for reduction targets, and enhance transparency in its sustainability efforts. This analysis is crucial for compliance with evolving environmental regulations and for informed decision-making towards a more sustainable product design and supply chain.</w:t>
      </w:r>
    </w:p>
    <w:bookmarkEnd w:id="25"/>
    <w:bookmarkStart w:id="26" w:name="product-and-company-details"/>
    <w:p>
      <w:pPr>
        <w:pStyle w:val="Heading3"/>
      </w:pPr>
      <w:r>
        <w:t xml:space="preserve">1.2. Product and Company Details</w:t>
      </w:r>
    </w:p>
    <w:p>
      <w:pPr>
        <w:numPr>
          <w:ilvl w:val="0"/>
          <w:numId w:val="1001"/>
        </w:numPr>
        <w:pStyle w:val="Compact"/>
      </w:pPr>
      <w:r>
        <w:rPr>
          <w:bCs/>
          <w:b/>
        </w:rPr>
        <w:t xml:space="preserve">Product Name:</w:t>
      </w:r>
      <w:r>
        <w:t xml:space="preserve"> </w:t>
      </w:r>
      <w:r>
        <w:t xml:space="preserve">sywijigxtz</w:t>
      </w:r>
    </w:p>
    <w:p>
      <w:pPr>
        <w:numPr>
          <w:ilvl w:val="0"/>
          <w:numId w:val="1001"/>
        </w:numPr>
        <w:pStyle w:val="Compact"/>
      </w:pPr>
      <w:r>
        <w:rPr>
          <w:bCs/>
          <w:b/>
        </w:rPr>
        <w:t xml:space="preserve">Company Name:</w:t>
      </w:r>
      <w:r>
        <w:t xml:space="preserve"> </w:t>
      </w:r>
      <w:r>
        <w:t xml:space="preserve">gkzyunfxjg</w:t>
      </w:r>
    </w:p>
    <w:p>
      <w:pPr>
        <w:numPr>
          <w:ilvl w:val="0"/>
          <w:numId w:val="1001"/>
        </w:numPr>
        <w:pStyle w:val="Compact"/>
      </w:pPr>
      <w:r>
        <w:rPr>
          <w:bCs/>
          <w:b/>
        </w:rPr>
        <w:t xml:space="preserve">Senior Sustainability Consultant:</w:t>
      </w:r>
      <w:r>
        <w:t xml:space="preserve"> </w:t>
      </w:r>
      <w:r>
        <w:t xml:space="preserve">lvhnmwijyi</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sywijigxtz</w:t>
      </w:r>
    </w:p>
    <w:p>
      <w:pPr>
        <w:numPr>
          <w:ilvl w:val="0"/>
          <w:numId w:val="1001"/>
        </w:numPr>
        <w:pStyle w:val="Compact"/>
      </w:pPr>
      <w:r>
        <w:rPr>
          <w:bCs/>
          <w:b/>
        </w:rPr>
        <w:t xml:space="preserve">System Boundary:</w:t>
      </w:r>
      <w:r>
        <w:t xml:space="preserve"> </w:t>
      </w:r>
      <w:r>
        <w:t xml:space="preserve">Cradle-to-grave (specifically \'factory_gate\' for the production phase, but extended to cover use and EoL as per prompt requirements, encompassing upstream and downstream activities relevant to PCF)</w:t>
      </w:r>
    </w:p>
    <w:p>
      <w:pPr>
        <w:numPr>
          <w:ilvl w:val="0"/>
          <w:numId w:val="1001"/>
        </w:numPr>
        <w:pStyle w:val="Compact"/>
      </w:pPr>
      <w:r>
        <w:rPr>
          <w:bCs/>
          <w:b/>
        </w:rPr>
        <w:t xml:space="preserve">Geographic Scope:</w:t>
      </w:r>
      <w:r>
        <w:t xml:space="preserve"> </w:t>
      </w:r>
      <w:r>
        <w:t xml:space="preserve">Final Production Country: China, Supply Chain Focus: Europe Focused</w:t>
      </w:r>
    </w:p>
    <w:bookmarkEnd w:id="26"/>
    <w:bookmarkStart w:id="27" w:name="compliance-with-ghg-protocol-standards"/>
    <w:p>
      <w:pPr>
        <w:pStyle w:val="Heading3"/>
      </w:pPr>
      <w:r>
        <w:t xml:space="preserve">1.3. Compliance with GHG Protocol Standards</w:t>
      </w:r>
    </w:p>
    <w:p>
      <w:pPr>
        <w:pStyle w:val="FirstParagraph"/>
      </w:pPr>
      <w:r>
        <w:t xml:space="preserve">This analysis strictly adheres to the GHG Protocol\'s Corporate Value Chain (Scope 3) Standard and the Product Standard. Emissions are categorized into Scope 1 (direct emissions from owned or controlled sources), Scope 2 (indirect emissions from the generation of purchased energy), and Scope 3 (all other indirect emissions that occur in a company\'s value chain). Furthermore, the report incorporates the 2026 Land Sector and Removals (LSR) Standard for land use and carbon removals, and ensures at least 95% coverage for Scope 3 reporting, meeting the stringent 2026 requirements.</w:t>
      </w:r>
    </w:p>
    <w:bookmarkEnd w:id="27"/>
    <w:bookmarkEnd w:id="28"/>
    <w:p>
      <w:r>
        <w:pict>
          <v:rect style="width:0;height:1.5pt" o:hralign="center" o:hrstd="t" o:hr="t"/>
        </w:pict>
      </w:r>
    </w:p>
    <w:bookmarkStart w:id="34" w:name="methodology"/>
    <w:p>
      <w:pPr>
        <w:pStyle w:val="Heading2"/>
      </w:pPr>
      <w:r>
        <w:t xml:space="preserve">2. Methodology</w:t>
      </w:r>
    </w:p>
    <w:p>
      <w:pPr>
        <w:pStyle w:val="FirstParagraph"/>
      </w:pPr>
      <w:r>
        <w:t xml:space="preserve">The Product Carbon Footprint (PCF) analysis for sywijigxtz follows a five-step methodology in accordance with the GHG Protocol.</w:t>
      </w:r>
    </w:p>
    <w:bookmarkStart w:id="29"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The functional unit for this PCF is defined as 1.0 unit of sywijigxtz, providing a consistent reference for quantification.</w:t>
      </w:r>
    </w:p>
    <w:p>
      <w:pPr>
        <w:numPr>
          <w:ilvl w:val="0"/>
          <w:numId w:val="1002"/>
        </w:numPr>
        <w:pStyle w:val="Compact"/>
      </w:pPr>
      <w:r>
        <w:rPr>
          <w:bCs/>
          <w:b/>
        </w:rPr>
        <w:t xml:space="preserve">System Boundary:</w:t>
      </w:r>
      <w:r>
        <w:t xml:space="preserve"> </w:t>
      </w:r>
      <w:r>
        <w:t xml:space="preserve">The system boundary is a \'cradle-to-grave\' approach. While the prompt specifies \'factory_gate\' for the core production boundary, the comprehensive PCF analysis necessitates inclusion of upstream (raw material extraction, transport to factory) and downstream (transport to customer, product use, end-of-life) stages to fully capture the product\'s value chain emissions.</w:t>
      </w:r>
    </w:p>
    <w:p>
      <w:pPr>
        <w:numPr>
          <w:ilvl w:val="0"/>
          <w:numId w:val="1002"/>
        </w:numPr>
        <w:pStyle w:val="Compact"/>
      </w:pPr>
      <w:r>
        <w:rPr>
          <w:bCs/>
          <w:b/>
        </w:rPr>
        <w:t xml:space="preserve">Geographic Scope:</w:t>
      </w:r>
      <w:r>
        <w:t xml:space="preserve"> </w:t>
      </w:r>
      <w:r>
        <w:t xml:space="preserve">Final production occurs in China, with a supply chain focus on Europe for upstream activities. This dual focus helps in applying relevant regional emission factors.</w:t>
      </w:r>
    </w:p>
    <w:p>
      <w:pPr>
        <w:numPr>
          <w:ilvl w:val="0"/>
          <w:numId w:val="1002"/>
        </w:numPr>
        <w:pStyle w:val="Compact"/>
      </w:pPr>
      <w:r>
        <w:rPr>
          <w:bCs/>
          <w:b/>
        </w:rPr>
        <w:t xml:space="preserve">Allocation:</w:t>
      </w:r>
      <w:r>
        <w:t xml:space="preserve"> </w:t>
      </w:r>
      <w:r>
        <w:t xml:space="preserve">Where necessary, emissions are allocated based on physical causality (e.g., mass, energy consumption) or economic value, in line with GHG Protocol guidelines.</w:t>
      </w:r>
    </w:p>
    <w:bookmarkEnd w:id="29"/>
    <w:bookmarkStart w:id="30" w:name="map-lifecycle-lci-inventory-stages"/>
    <w:p>
      <w:pPr>
        <w:pStyle w:val="Heading3"/>
      </w:pPr>
      <w:r>
        <w:t xml:space="preserve">2.2. Map Lifecycle (LCI Inventory Stages)</w:t>
      </w:r>
    </w:p>
    <w:p>
      <w:pPr>
        <w:pStyle w:val="FirstParagraph"/>
      </w:pPr>
      <w:r>
        <w:t xml:space="preserve">The lifecycle of sywijigxtz is mapped into distinct stages to facilitate comprehensive data collection and emission calculation:</w:t>
      </w:r>
    </w:p>
    <w:p>
      <w:pPr>
        <w:numPr>
          <w:ilvl w:val="0"/>
          <w:numId w:val="1003"/>
        </w:numPr>
        <w:pStyle w:val="Compact"/>
      </w:pPr>
      <w:r>
        <w:rPr>
          <w:bCs/>
          <w:b/>
        </w:rPr>
        <w:t xml:space="preserve">Material Acquisition &amp; Pre-processing:</w:t>
      </w:r>
      <w:r>
        <w:t xml:space="preserve"> </w:t>
      </w:r>
      <w:r>
        <w:t xml:space="preserve">Extraction, processing, and manufacturing of all raw materials and components listed in the Bill of Materials (BOM).</w:t>
      </w:r>
    </w:p>
    <w:p>
      <w:pPr>
        <w:numPr>
          <w:ilvl w:val="0"/>
          <w:numId w:val="1003"/>
        </w:numPr>
        <w:pStyle w:val="Compact"/>
      </w:pPr>
      <w:r>
        <w:rPr>
          <w:bCs/>
          <w:b/>
        </w:rPr>
        <w:t xml:space="preserve">Production:</w:t>
      </w:r>
      <w:r>
        <w:t xml:space="preserve"> </w:t>
      </w:r>
      <w:r>
        <w:t xml:space="preserve">Manufacturing processes at the gkzyunfxjg facility in China, including energy consumption and any direct emissions.</w:t>
      </w:r>
    </w:p>
    <w:p>
      <w:pPr>
        <w:numPr>
          <w:ilvl w:val="0"/>
          <w:numId w:val="1003"/>
        </w:numPr>
        <w:pStyle w:val="Compact"/>
      </w:pPr>
      <w:r>
        <w:rPr>
          <w:bCs/>
          <w:b/>
        </w:rPr>
        <w:t xml:space="preserve">Transportation (Upstream):</w:t>
      </w:r>
      <w:r>
        <w:t xml:space="preserve"> </w:t>
      </w:r>
      <w:r>
        <w:t xml:space="preserve">Transport of raw materials and components from suppliers (Europe-focused) to the production facility in China.</w:t>
      </w:r>
    </w:p>
    <w:p>
      <w:pPr>
        <w:numPr>
          <w:ilvl w:val="0"/>
          <w:numId w:val="1003"/>
        </w:numPr>
        <w:pStyle w:val="Compact"/>
      </w:pPr>
      <w:r>
        <w:rPr>
          <w:bCs/>
          <w:b/>
        </w:rPr>
        <w:t xml:space="preserve">Transportation (Downstream):</w:t>
      </w:r>
      <w:r>
        <w:t xml:space="preserve"> </w:t>
      </w:r>
      <w:r>
        <w:t xml:space="preserve">Transport of the finished product from the production facility to the customer, including last-mile delivery.</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and recovery processes at the end of the product\'s life.</w:t>
      </w:r>
    </w:p>
    <w:bookmarkEnd w:id="30"/>
    <w:bookmarkStart w:id="31" w:name="Xb57f50a89bf1f3f1837369be949d9d60d6c1272"/>
    <w:p>
      <w:pPr>
        <w:pStyle w:val="Heading3"/>
      </w:pPr>
      <w:r>
        <w:t xml:space="preserve">2.3. Collect Data (Primary/Secondary Data Points)</w:t>
      </w:r>
    </w:p>
    <w:p>
      <w:pPr>
        <w:pStyle w:val="FirstParagraph"/>
      </w:pPr>
      <w:r>
        <w:t xml:space="preserve">Both primary and secondary data sources are utilized for robust emission calculations:</w:t>
      </w:r>
    </w:p>
    <w:p>
      <w:pPr>
        <w:numPr>
          <w:ilvl w:val="0"/>
          <w:numId w:val="1004"/>
        </w:numPr>
        <w:pStyle w:val="Compact"/>
      </w:pPr>
      <w:r>
        <w:rPr>
          <w:bCs/>
          <w:b/>
        </w:rPr>
        <w:t xml:space="preserve">Primary Data:</w:t>
      </w:r>
      <w:r>
        <w:t xml:space="preserve"> </w:t>
      </w:r>
      <w:r>
        <w:t xml:space="preserve">Provided parameters for Company Name, Consultant, BOM, Transport Distance, Renewable Energy Usage, Energy Intensity, Product Lifespan, Energy Consumption in Use, Recyclability Percentage, and Circular/Take-back Programs.</w:t>
      </w:r>
    </w:p>
    <w:p>
      <w:pPr>
        <w:numPr>
          <w:ilvl w:val="0"/>
          <w:numId w:val="1004"/>
        </w:numPr>
        <w:pStyle w:val="Compact"/>
      </w:pPr>
      <w:r>
        <w:rPr>
          <w:bCs/>
          <w:b/>
        </w:rPr>
        <w:t xml:space="preserve">Secondary Data:</w:t>
      </w:r>
      <w:r>
        <w:t xml:space="preserve"> </w:t>
      </w:r>
      <w:r>
        <w:t xml:space="preserve">Industry-standard emission factors from reputable databases (e.g., Ecoinvent, DEFRA) are used for electricity generation, transportation modes, and generic material processes where specific BOM emission factors are not available or for verification.</w:t>
      </w:r>
    </w:p>
    <w:p>
      <w:pPr>
        <w:pStyle w:val="FirstParagraph"/>
      </w:pPr>
      <w:r>
        <w:rPr>
          <w:bCs/>
          <w:b/>
        </w:rPr>
        <w:t xml:space="preserve">Detailed Bill of Materials (BOM) Data (tmgdultp):</w:t>
      </w:r>
    </w:p>
    <w:p>
      <w:pPr>
        <w:pStyle w:val="BodyText"/>
      </w:pPr>
      <w:r>
        <w:t xml:space="preserve">The following detailed Bill of Materials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 kgCO2e/unit</w:t>
            </w:r>
          </w:p>
        </w:tc>
        <w:tc>
          <w:tcPr/>
          <w:p>
            <w:pPr>
              <w:pStyle w:val="Compact"/>
              <w:jc w:val="left"/>
            </w:pPr>
            <w:r>
              <w:t xml:space="preserve">0.8</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0.5</w:t>
            </w:r>
          </w:p>
        </w:tc>
      </w:tr>
    </w:tbl>
    <w:bookmarkEnd w:id="31"/>
    <w:bookmarkStart w:id="32" w:name="Xb404f6bea4a0013006ec7a9103609d9ea6643c1"/>
    <w:p>
      <w:pPr>
        <w:pStyle w:val="Heading3"/>
      </w:pPr>
      <w:r>
        <w:t xml:space="preserve">2.4. Calculate Emissions (Activity * Emission Factor = CO2e)</w:t>
      </w:r>
    </w:p>
    <w:p>
      <w:pPr>
        <w:pStyle w:val="FirstParagraph"/>
      </w:pPr>
      <w:r>
        <w:t xml:space="preserve">Emissions are calculated for each lifecycle stage by multiplying activity data (e.g., kg of material, kWh of energy, tonne-km of transport) by relevant emission factors. The results are expressed in kilograms of carbon dioxide equivalent (kgCO2e).</w:t>
      </w:r>
    </w:p>
    <w:p>
      <w:pPr>
        <w:pStyle w:val="BodyText"/>
      </w:pPr>
      <w:r>
        <w:rPr>
          <w:bCs/>
          <w:b/>
        </w:rPr>
        <w:t xml:space="preserve">Key Emission Factors Used:</w:t>
      </w:r>
    </w:p>
    <w:p>
      <w:pPr>
        <w:numPr>
          <w:ilvl w:val="0"/>
          <w:numId w:val="1005"/>
        </w:numPr>
        <w:pStyle w:val="Compact"/>
      </w:pPr>
      <w:r>
        <w:rPr>
          <w:bCs/>
          <w:b/>
        </w:rPr>
        <w:t xml:space="preserve">Electricity (China National Average, 2023):</w:t>
      </w:r>
      <w:r>
        <w:t xml:space="preserve"> </w:t>
      </w:r>
      <w:r>
        <w:t xml:space="preserve">0.6205 kgCO2e/kWh.</w:t>
      </w:r>
    </w:p>
    <w:p>
      <w:pPr>
        <w:numPr>
          <w:ilvl w:val="0"/>
          <w:numId w:val="1005"/>
        </w:numPr>
        <w:pStyle w:val="Compact"/>
      </w:pPr>
      <w:r>
        <w:rPr>
          <w:bCs/>
          <w:b/>
        </w:rPr>
        <w:t xml:space="preserve">Road Freight (Heavy Goods Vehicle):</w:t>
      </w:r>
      <w:r>
        <w:t xml:space="preserve"> </w:t>
      </w:r>
      <w:r>
        <w:t xml:space="preserve">0.062 kgCO2e/tonne-km.</w:t>
      </w:r>
    </w:p>
    <w:p>
      <w:pPr>
        <w:numPr>
          <w:ilvl w:val="0"/>
          <w:numId w:val="1005"/>
        </w:numPr>
        <w:pStyle w:val="Compact"/>
      </w:pPr>
      <w:r>
        <w:rPr>
          <w:bCs/>
          <w:b/>
        </w:rPr>
        <w:t xml:space="preserve">Road Freight (Light Commercial Vehicle - Last Mile):</w:t>
      </w:r>
      <w:r>
        <w:t xml:space="preserve"> </w:t>
      </w:r>
      <w:r>
        <w:t xml:space="preserve">0.1 kgCO2e/tonne-km (estimated, accounting for lower load factors).</w:t>
      </w:r>
    </w:p>
    <w:p>
      <w:pPr>
        <w:numPr>
          <w:ilvl w:val="0"/>
          <w:numId w:val="1005"/>
        </w:numPr>
        <w:pStyle w:val="Compact"/>
      </w:pPr>
      <w:r>
        <w:rPr>
          <w:bCs/>
          <w:b/>
        </w:rPr>
        <w:t xml:space="preserve">Material Emission Factors:</w:t>
      </w:r>
      <w:r>
        <w:t xml:space="preserve"> </w:t>
      </w:r>
      <w:r>
        <w:t xml:space="preserve">As provided in the Detailed BOM (`tmgdultp`) for each specific material.</w:t>
      </w:r>
    </w:p>
    <w:bookmarkEnd w:id="32"/>
    <w:bookmarkStart w:id="33" w:name="review-report"/>
    <w:p>
      <w:pPr>
        <w:pStyle w:val="Heading3"/>
      </w:pPr>
      <w:r>
        <w:t xml:space="preserve">2.5. Review &amp; Report</w:t>
      </w:r>
    </w:p>
    <w:p>
      <w:pPr>
        <w:pStyle w:val="FirstParagraph"/>
      </w:pPr>
      <w:r>
        <w:t xml:space="preserve">The final step involves reviewing the calculated emissions for accuracy, identifying key emission hotspots, and reporting the findings in a clear and transparent manner. The reliability of the data sources and assumptions made are also discussed.</w:t>
      </w:r>
    </w:p>
    <w:bookmarkEnd w:id="33"/>
    <w:bookmarkEnd w:id="34"/>
    <w:p>
      <w:r>
        <w:pict>
          <v:rect style="width:0;height:1.5pt" o:hralign="center" o:hrstd="t" o:hr="t"/>
        </w:pict>
      </w:r>
    </w:p>
    <w:bookmarkStart w:id="42" w:name="X653b2b5ee2edae6ba3df1ede010cc1939eb9e24"/>
    <w:p>
      <w:pPr>
        <w:pStyle w:val="Heading2"/>
      </w:pPr>
      <w:r>
        <w:t xml:space="preserve">3. Detailed Product Carbon Footprint Analysis</w:t>
      </w:r>
    </w:p>
    <w:bookmarkStart w:id="35" w:name="Xd574f6d69eb088a4895990b15c36ec60d956f50"/>
    <w:p>
      <w:pPr>
        <w:pStyle w:val="Heading3"/>
      </w:pPr>
      <w:r>
        <w:t xml:space="preserve">3.1. Emissions Categorization (GHG Protocol Scopes)</w:t>
      </w:r>
    </w:p>
    <w:p>
      <w:pPr>
        <w:numPr>
          <w:ilvl w:val="0"/>
          <w:numId w:val="1006"/>
        </w:numPr>
        <w:pStyle w:val="Compact"/>
      </w:pPr>
      <w:r>
        <w:rPr>
          <w:bCs/>
          <w:b/>
        </w:rPr>
        <w:t xml:space="preserve">Scope 1: Direct Emissions</w:t>
      </w:r>
      <w:r>
        <w:t xml:space="preserve"> </w:t>
      </w:r>
      <w:r>
        <w:t xml:space="preserve">– Emissions from sources owned or controlled by gkzyunfxjg (e.g., company vehicles, on-site fuel combustion). For this PCF, direct emissions from manufacturing processes (if any on-site fuel combustion) would fall here.</w:t>
      </w:r>
    </w:p>
    <w:p>
      <w:pPr>
        <w:numPr>
          <w:ilvl w:val="0"/>
          <w:numId w:val="1006"/>
        </w:numPr>
        <w:pStyle w:val="Compact"/>
      </w:pPr>
      <w:r>
        <w:rPr>
          <w:bCs/>
          <w:b/>
        </w:rPr>
        <w:t xml:space="preserve">Scope 2: Indirect Emissions from Purchased Energy</w:t>
      </w:r>
      <w:r>
        <w:t xml:space="preserve"> </w:t>
      </w:r>
      <w:r>
        <w:t xml:space="preserve">– Emissions from the generation of purchased electricity, heat, or steam consumed by gkzyunfxjg\'s operations in China.</w:t>
      </w:r>
    </w:p>
    <w:p>
      <w:pPr>
        <w:numPr>
          <w:ilvl w:val="0"/>
          <w:numId w:val="1006"/>
        </w:numPr>
        <w:pStyle w:val="Compact"/>
      </w:pPr>
      <w:r>
        <w:rPr>
          <w:bCs/>
          <w:b/>
        </w:rPr>
        <w:t xml:space="preserve">Scope 3: Other Indirect Emissions (Value Chain)</w:t>
      </w:r>
      <w:r>
        <w:t xml:space="preserve"> </w:t>
      </w:r>
      <w:r>
        <w:t xml:space="preserve">– All other indirect emissions. For a product PCF, this is typically the largest category and includes:</w:t>
      </w:r>
    </w:p>
    <w:p>
      <w:pPr>
        <w:numPr>
          <w:ilvl w:val="1"/>
          <w:numId w:val="1007"/>
        </w:numPr>
        <w:pStyle w:val="Compact"/>
      </w:pPr>
      <w:r>
        <w:t xml:space="preserve">Upstream: Material acquisition, pre-processing, and upstream transportation.</w:t>
      </w:r>
    </w:p>
    <w:p>
      <w:pPr>
        <w:numPr>
          <w:ilvl w:val="1"/>
          <w:numId w:val="1007"/>
        </w:numPr>
        <w:pStyle w:val="Compact"/>
      </w:pPr>
      <w:r>
        <w:t xml:space="preserve">Downstream: Downstream transportation, use phase, and end-of-life treatment.</w:t>
      </w:r>
    </w:p>
    <w:p>
      <w:pPr>
        <w:pStyle w:val="FirstParagraph"/>
      </w:pPr>
      <w:r>
        <w:t xml:space="preserve">As per the 2026 requirements, this report ensures at least 95% coverage for Scope 3 emissions, reflecting a comprehensive analysis of the value chain.</w:t>
      </w:r>
    </w:p>
    <w:bookmarkEnd w:id="35"/>
    <w:bookmarkStart w:id="41" w:name="Xfb0db7c869adc28ce479e2161fbd8ca983007e3"/>
    <w:p>
      <w:pPr>
        <w:pStyle w:val="Heading3"/>
      </w:pPr>
      <w:r>
        <w:t xml:space="preserve">3.2. Lifecycle Inventory (LCI) &amp; Data Collection Breakdown</w:t>
      </w:r>
    </w:p>
    <w:bookmarkStart w:id="36" w:name="Xcee02afbbe6cc3bc7c750f7d3c9ec908ee316a9"/>
    <w:p>
      <w:pPr>
        <w:pStyle w:val="Heading4"/>
      </w:pPr>
      <w:r>
        <w:t xml:space="preserve">3.2.1. Material Acquisition &amp; Pre-processing (Scope 3 Upstream)</w:t>
      </w:r>
    </w:p>
    <w:p>
      <w:pPr>
        <w:pStyle w:val="FirstParagraph"/>
      </w:pPr>
      <w:r>
        <w:t xml:space="preserve">The material impact is calculated directly from the provided Bill of Materials (`tmgdultp`).</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(kg/unit or 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1.0 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gridSpan w:val="4"/>
          </w:tcPr>
          <w:p>
            <w:pPr>
              <w:pStyle w:val="Compact"/>
              <w:jc w:val="left"/>
            </w:pPr>
            <w:r>
              <w:rPr>
                <w:bCs/>
                <w:b/>
              </w:rPr>
              <w:t xml:space="preserve">Total Material Emissions</w:t>
            </w:r>
          </w:p>
        </w:tc>
        <w:tc>
          <w:tcPr/>
          <w:p>
            <w:pPr>
              <w:pStyle w:val="Compact"/>
              <w:jc w:val="left"/>
            </w:pPr>
            <w:r>
              <w:rPr>
                <w:bCs/>
                <w:b/>
              </w:rPr>
              <w:t xml:space="preserve">5.55 kgCO2e</w:t>
            </w:r>
          </w:p>
        </w:tc>
      </w:tr>
    </w:tbl>
    <w:bookmarkEnd w:id="36"/>
    <w:bookmarkStart w:id="37" w:name="production-phase-scope-1-2"/>
    <w:p>
      <w:pPr>
        <w:pStyle w:val="Heading4"/>
      </w:pPr>
      <w:r>
        <w:t xml:space="preserve">3.2.2. Production Phase (Scope 1 &amp; 2)</w:t>
      </w:r>
    </w:p>
    <w:p>
      <w:pPr>
        <w:pStyle w:val="FirstParagraph"/>
      </w:pPr>
      <w:r>
        <w:t xml:space="preserve">The production phase emissions are derived from the energy intensity and the mix of renewable versus non-renewable energy used in the China-based manufacturing facility.</w:t>
      </w:r>
    </w:p>
    <w:p>
      <w:pPr>
        <w:numPr>
          <w:ilvl w:val="0"/>
          <w:numId w:val="1008"/>
        </w:numPr>
        <w:pStyle w:val="Compact"/>
      </w:pPr>
      <w:r>
        <w:rPr>
          <w:bCs/>
          <w:b/>
        </w:rPr>
        <w:t xml:space="preserve">Energy Intensity (kWh/unit):</w:t>
      </w:r>
      <w:r>
        <w:t xml:space="preserve"> </w:t>
      </w:r>
      <w:r>
        <w:t xml:space="preserve">8 kWh/unit (lwoptkpoyv)</w:t>
      </w:r>
    </w:p>
    <w:p>
      <w:pPr>
        <w:numPr>
          <w:ilvl w:val="0"/>
          <w:numId w:val="1008"/>
        </w:numPr>
        <w:pStyle w:val="Compact"/>
      </w:pPr>
      <w:r>
        <w:rPr>
          <w:bCs/>
          <w:b/>
        </w:rPr>
        <w:t xml:space="preserve">Renewable Energy Usage:</w:t>
      </w:r>
      <w:r>
        <w:t xml:space="preserve"> </w:t>
      </w:r>
      <w:r>
        <w:t xml:space="preserve">60% (xqsvleskpv)</w:t>
      </w:r>
    </w:p>
    <w:p>
      <w:pPr>
        <w:numPr>
          <w:ilvl w:val="0"/>
          <w:numId w:val="1008"/>
        </w:numPr>
        <w:pStyle w:val="Compact"/>
      </w:pPr>
      <w:r>
        <w:rPr>
          <w:bCs/>
          <w:b/>
        </w:rPr>
        <w:t xml:space="preserve">Non-Renewable Energy Usage:</w:t>
      </w:r>
      <w:r>
        <w:t xml:space="preserve"> </w:t>
      </w:r>
      <w:r>
        <w:t xml:space="preserve">40% (100% - 60%)</w:t>
      </w:r>
    </w:p>
    <w:p>
      <w:pPr>
        <w:numPr>
          <w:ilvl w:val="0"/>
          <w:numId w:val="1008"/>
        </w:numPr>
        <w:pStyle w:val="Compact"/>
      </w:pPr>
      <w:r>
        <w:rPr>
          <w:bCs/>
          <w:b/>
        </w:rPr>
        <w:t xml:space="preserve">Electricity Emission Factor (China):</w:t>
      </w:r>
      <w:r>
        <w:t xml:space="preserve"> </w:t>
      </w:r>
      <w:r>
        <w:t xml:space="preserve">0.6205 kgCO2e/kWh.</w:t>
      </w:r>
    </w:p>
    <w:p>
      <w:pPr>
        <w:pStyle w:val="FirstParagraph"/>
      </w:pPr>
      <w:r>
        <w:t xml:space="preserve">Non-renewable electricity consumed = 8 kWh/unit * 40% = 3.2 kWh/unit</w:t>
      </w:r>
      <w:r>
        <w:br/>
      </w:r>
      <w:r>
        <w:t xml:space="preserve">Production Emissions = 3.2 kWh/unit * 0.6205 kgCO2e/kWh = 1.9856 kgCO2e/unit</w:t>
      </w:r>
    </w:p>
    <w:p>
      <w:pPr>
        <w:pStyle w:val="BodyText"/>
      </w:pPr>
      <w:r>
        <w:t xml:space="preserve">Assuming the non-renewable portion of purchased electricity is Scope 2. If there are direct fuel combustions on-site, those would be Scope 1, but based on the parameters, energy intensity refers to electricity consumption.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w:t>
            </w:r>
          </w:p>
        </w:tc>
        <w:tc>
          <w:tcPr/>
          <w:p>
            <w:pPr>
              <w:pStyle w:val="Compact"/>
              <w:jc w:val="left"/>
            </w:pPr>
            <w:r>
              <w:t xml:space="preserve">8</w:t>
            </w:r>
          </w:p>
        </w:tc>
        <w:tc>
          <w:tcPr/>
          <w:p>
            <w:pPr>
              <w:pStyle w:val="Compact"/>
              <w:jc w:val="left"/>
            </w:pPr>
            <w:r>
              <w:t xml:space="preserve">kWh/unit</w:t>
            </w:r>
          </w:p>
        </w:tc>
      </w:tr>
      <w:tr>
        <w:tc>
          <w:tcPr/>
          <w:p>
            <w:pPr>
              <w:pStyle w:val="Compact"/>
              <w:jc w:val="left"/>
            </w:pPr>
            <w:r>
              <w:t xml:space="preserve">Renewable Energy Share</w:t>
            </w:r>
          </w:p>
        </w:tc>
        <w:tc>
          <w:tcPr/>
          <w:p>
            <w:pPr>
              <w:pStyle w:val="Compact"/>
              <w:jc w:val="left"/>
            </w:pPr>
            <w:r>
              <w:t xml:space="preserve">60%</w:t>
            </w:r>
          </w:p>
        </w:tc>
        <w:tc>
          <w:tcPr/>
          <w:p>
            <w:pPr>
              <w:pStyle w:val="Compact"/>
            </w:pPr>
          </w:p>
        </w:tc>
      </w:tr>
      <w:tr>
        <w:tc>
          <w:tcPr/>
          <w:p>
            <w:pPr>
              <w:pStyle w:val="Compact"/>
              <w:jc w:val="left"/>
            </w:pPr>
            <w:r>
              <w:t xml:space="preserve">Non-Renewable Energy Share</w:t>
            </w:r>
          </w:p>
        </w:tc>
        <w:tc>
          <w:tcPr/>
          <w:p>
            <w:pPr>
              <w:pStyle w:val="Compact"/>
              <w:jc w:val="left"/>
            </w:pPr>
            <w:r>
              <w:t xml:space="preserve">40%</w:t>
            </w:r>
          </w:p>
        </w:tc>
        <w:tc>
          <w:tcPr/>
          <w:p>
            <w:pPr>
              <w:pStyle w:val="Compact"/>
            </w:pPr>
          </w:p>
        </w:tc>
      </w:tr>
      <w:tr>
        <w:tc>
          <w:tcPr/>
          <w:p>
            <w:pPr>
              <w:pStyle w:val="Compact"/>
              <w:jc w:val="left"/>
            </w:pPr>
            <w:r>
              <w:t xml:space="preserve">China Electricity EF</w:t>
            </w:r>
          </w:p>
        </w:tc>
        <w:tc>
          <w:tcPr/>
          <w:p>
            <w:pPr>
              <w:pStyle w:val="Compact"/>
              <w:jc w:val="left"/>
            </w:pPr>
            <w:r>
              <w:t xml:space="preserve">0.6205</w:t>
            </w:r>
          </w:p>
        </w:tc>
        <w:tc>
          <w:tcPr/>
          <w:p>
            <w:pPr>
              <w:pStyle w:val="Compact"/>
              <w:jc w:val="left"/>
            </w:pPr>
            <w:r>
              <w:t xml:space="preserve">kgCO2e/kWh</w:t>
            </w:r>
          </w:p>
        </w:tc>
      </w:tr>
      <w:tr>
        <w:tc>
          <w:tcPr>
            <w:gridSpan w:val="2"/>
          </w:tcPr>
          <w:p>
            <w:pPr>
              <w:pStyle w:val="Compact"/>
              <w:jc w:val="left"/>
            </w:pPr>
            <w:r>
              <w:rPr>
                <w:bCs/>
                <w:b/>
              </w:rPr>
              <w:t xml:space="preserve">Production Emissions (Scope 2)</w:t>
            </w:r>
          </w:p>
        </w:tc>
        <w:tc>
          <w:tcPr/>
          <w:p>
            <w:pPr>
              <w:pStyle w:val="Compact"/>
              <w:jc w:val="left"/>
            </w:pPr>
            <w:r>
              <w:rPr>
                <w:bCs/>
                <w:b/>
              </w:rPr>
              <w:t xml:space="preserve">1.99 kgCO2e</w:t>
            </w:r>
          </w:p>
        </w:tc>
      </w:tr>
    </w:tbl>
    <w:bookmarkEnd w:id="37"/>
    <w:bookmarkStart w:id="38" w:name="Xa72cd89f200eee69afd134ad22c65583d62e21f"/>
    <w:p>
      <w:pPr>
        <w:pStyle w:val="Heading4"/>
      </w:pPr>
      <w:r>
        <w:t xml:space="preserve">3.2.3. Transportation (Scope 3 Upstream &amp; Downstream)</w:t>
      </w:r>
    </w:p>
    <w:p>
      <w:pPr>
        <w:pStyle w:val="FirstParagraph"/>
      </w:pPr>
      <w:r>
        <w:t xml:space="preserve">Transportation impacts are divided into primary transport (from supply chain to factory) and last-mile delivery.</w:t>
      </w:r>
    </w:p>
    <w:p>
      <w:pPr>
        <w:numPr>
          <w:ilvl w:val="0"/>
          <w:numId w:val="1009"/>
        </w:numPr>
        <w:pStyle w:val="Compact"/>
      </w:pPr>
      <w:r>
        <w:rPr>
          <w:bCs/>
          <w:b/>
        </w:rPr>
        <w:t xml:space="preserve">Product Mass (estimated):</w:t>
      </w:r>
      <w:r>
        <w:t xml:space="preserve"> </w:t>
      </w:r>
      <w:r>
        <w:t xml:space="preserve">Based on BOM materials, a total of 0.5 + 0.3 + 0.1 = 0.9 kg for physical components. Assuming packaged product weight is ~1.5 kg per unit for transport calculations.</w:t>
      </w:r>
    </w:p>
    <w:p>
      <w:pPr>
        <w:numPr>
          <w:ilvl w:val="0"/>
          <w:numId w:val="1009"/>
        </w:numPr>
        <w:pStyle w:val="Compact"/>
      </w:pPr>
      <w:r>
        <w:rPr>
          <w:bCs/>
          <w:b/>
        </w:rPr>
        <w:t xml:space="preserve">Transport Mode (Primary):</w:t>
      </w:r>
      <w:r>
        <w:t xml:space="preserve"> </w:t>
      </w:r>
      <w:r>
        <w:t xml:space="preserve">Road freight (Heavy Goods Vehicle - HGV) (Select Mode)</w:t>
      </w:r>
    </w:p>
    <w:p>
      <w:pPr>
        <w:numPr>
          <w:ilvl w:val="0"/>
          <w:numId w:val="1009"/>
        </w:numPr>
        <w:pStyle w:val="Compact"/>
      </w:pPr>
      <w:r>
        <w:rPr>
          <w:bCs/>
          <w:b/>
        </w:rPr>
        <w:t xml:space="preserve">Transport Distance (Primary):</w:t>
      </w:r>
      <w:r>
        <w:t xml:space="preserve"> </w:t>
      </w:r>
      <w:r>
        <w:t xml:space="preserve">1500 km (pytrxwvrru, assumed average for Europe to China factory gate for components)</w:t>
      </w:r>
    </w:p>
    <w:p>
      <w:pPr>
        <w:numPr>
          <w:ilvl w:val="0"/>
          <w:numId w:val="1009"/>
        </w:numPr>
        <w:pStyle w:val="Compact"/>
      </w:pPr>
      <w:r>
        <w:rPr>
          <w:bCs/>
          <w:b/>
        </w:rPr>
        <w:t xml:space="preserve">HGV Emission Factor:</w:t>
      </w:r>
      <w:r>
        <w:t xml:space="preserve"> </w:t>
      </w:r>
      <w:r>
        <w:t xml:space="preserve">0.062 kgCO2e/tonne-km (0.000062 kgCO2e/kg-km).</w:t>
      </w:r>
    </w:p>
    <w:p>
      <w:pPr>
        <w:numPr>
          <w:ilvl w:val="0"/>
          <w:numId w:val="1009"/>
        </w:numPr>
        <w:pStyle w:val="Compact"/>
      </w:pPr>
      <w:r>
        <w:rPr>
          <w:bCs/>
          <w:b/>
        </w:rPr>
        <w:t xml:space="preserve">Last-Mile Delivery Channel:</w:t>
      </w:r>
      <w:r>
        <w:t xml:space="preserve"> </w:t>
      </w:r>
      <w:r>
        <w:t xml:space="preserve">Road freight (Light Commercial Vehicle - LCV) (Delivery Type)</w:t>
      </w:r>
    </w:p>
    <w:p>
      <w:pPr>
        <w:numPr>
          <w:ilvl w:val="0"/>
          <w:numId w:val="1009"/>
        </w:numPr>
        <w:pStyle w:val="Compact"/>
      </w:pPr>
      <w:r>
        <w:rPr>
          <w:bCs/>
          <w:b/>
        </w:rPr>
        <w:t xml:space="preserve">Last-Mile Distance (estimated):</w:t>
      </w:r>
      <w:r>
        <w:t xml:space="preserve"> </w:t>
      </w:r>
      <w:r>
        <w:t xml:space="preserve">50 km</w:t>
      </w:r>
    </w:p>
    <w:p>
      <w:pPr>
        <w:numPr>
          <w:ilvl w:val="0"/>
          <w:numId w:val="1009"/>
        </w:numPr>
        <w:pStyle w:val="Compact"/>
      </w:pPr>
      <w:r>
        <w:rPr>
          <w:bCs/>
          <w:b/>
        </w:rPr>
        <w:t xml:space="preserve">LCV Emission Factor:</w:t>
      </w:r>
      <w:r>
        <w:t xml:space="preserve"> </w:t>
      </w:r>
      <w:r>
        <w:t xml:space="preserve">0.1 kgCO2e/tonne-km (0.0001 kgCO2e/kg-km, estimated).</w:t>
      </w:r>
    </w:p>
    <w:p>
      <w:pPr>
        <w:pStyle w:val="FirstParagraph"/>
      </w:pPr>
      <w:r>
        <w:t xml:space="preserve">Primary Transport Emissions = 1.5 kg/unit * 1500 km * 0.000062 kgCO2e/kg-km = 0.1395 kgCO2e/unit</w:t>
      </w:r>
      <w:r>
        <w:br/>
      </w:r>
      <w:r>
        <w:t xml:space="preserve">Last-Mile Delivery Emissions = 1.5 kg/unit * 50 km * 0.0001 kgCO2e/kg-km = 0.0075 kgCO2e/unit</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Type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(kgCO2e/tonne-km)</w:t>
            </w:r>
          </w:p>
        </w:tc>
        <w:tc>
          <w:tcPr/>
          <w:p>
            <w:pPr>
              <w:pStyle w:val="Compact"/>
              <w:jc w:val="left"/>
            </w:pPr>
            <w:r>
              <w:t xml:space="preserve">Emissions (kgCO2e)</w:t>
            </w:r>
          </w:p>
        </w:tc>
      </w:tr>
      <w:tr>
        <w:tc>
          <w:tcPr/>
          <w:p>
            <w:pPr>
              <w:pStyle w:val="Compact"/>
              <w:jc w:val="left"/>
            </w:pPr>
            <w:r>
              <w:t xml:space="preserve">Primary Transport (Upstream)</w:t>
            </w:r>
          </w:p>
        </w:tc>
        <w:tc>
          <w:tcPr/>
          <w:p>
            <w:pPr>
              <w:pStyle w:val="Compact"/>
              <w:jc w:val="left"/>
            </w:pPr>
            <w:r>
              <w:t xml:space="preserve">Road freight (HGV)</w:t>
            </w:r>
          </w:p>
        </w:tc>
        <w:tc>
          <w:tcPr/>
          <w:p>
            <w:pPr>
              <w:pStyle w:val="Compact"/>
              <w:jc w:val="left"/>
            </w:pPr>
            <w:r>
              <w:t xml:space="preserve">1500</w:t>
            </w:r>
          </w:p>
        </w:tc>
        <w:tc>
          <w:tcPr/>
          <w:p>
            <w:pPr>
              <w:pStyle w:val="Compact"/>
              <w:jc w:val="left"/>
            </w:pPr>
            <w:r>
              <w:t xml:space="preserve">1.5</w:t>
            </w:r>
          </w:p>
        </w:tc>
        <w:tc>
          <w:tcPr/>
          <w:p>
            <w:pPr>
              <w:pStyle w:val="Compact"/>
              <w:jc w:val="left"/>
            </w:pPr>
            <w:r>
              <w:t xml:space="preserve">0.062</w:t>
            </w:r>
          </w:p>
        </w:tc>
        <w:tc>
          <w:tcPr/>
          <w:p>
            <w:pPr>
              <w:pStyle w:val="Compact"/>
              <w:jc w:val="left"/>
            </w:pPr>
            <w:r>
              <w:t xml:space="preserve">0.14</w:t>
            </w:r>
          </w:p>
        </w:tc>
      </w:tr>
      <w:tr>
        <w:tc>
          <w:tcPr/>
          <w:p>
            <w:pPr>
              <w:pStyle w:val="Compact"/>
              <w:jc w:val="left"/>
            </w:pPr>
            <w:r>
              <w:t xml:space="preserve">Last-Mile Delivery (Downstream)</w:t>
            </w:r>
          </w:p>
        </w:tc>
        <w:tc>
          <w:tcPr/>
          <w:p>
            <w:pPr>
              <w:pStyle w:val="Compact"/>
              <w:jc w:val="left"/>
            </w:pPr>
            <w:r>
              <w:t xml:space="preserve">Road freight (LCV)</w:t>
            </w:r>
          </w:p>
        </w:tc>
        <w:tc>
          <w:tcPr/>
          <w:p>
            <w:pPr>
              <w:pStyle w:val="Compact"/>
              <w:jc w:val="left"/>
            </w:pPr>
            <w:r>
              <w:t xml:space="preserve">50</w:t>
            </w:r>
          </w:p>
        </w:tc>
        <w:tc>
          <w:tcPr/>
          <w:p>
            <w:pPr>
              <w:pStyle w:val="Compact"/>
              <w:jc w:val="left"/>
            </w:pPr>
            <w:r>
              <w:t xml:space="preserve">1.5</w:t>
            </w:r>
          </w:p>
        </w:tc>
        <w:tc>
          <w:tcPr/>
          <w:p>
            <w:pPr>
              <w:pStyle w:val="Compact"/>
              <w:jc w:val="left"/>
            </w:pPr>
            <w:r>
              <w:t xml:space="preserve">0.100</w:t>
            </w:r>
          </w:p>
        </w:tc>
        <w:tc>
          <w:tcPr/>
          <w:p>
            <w:pPr>
              <w:pStyle w:val="Compact"/>
              <w:jc w:val="left"/>
            </w:pPr>
            <w:r>
              <w:t xml:space="preserve">0.01</w:t>
            </w:r>
          </w:p>
        </w:tc>
      </w:tr>
      <w:tr>
        <w:tc>
          <w:tcPr>
            <w:gridSpan w:val="5"/>
          </w:tcPr>
          <w:p>
            <w:pPr>
              <w:pStyle w:val="Compact"/>
              <w:jc w:val="left"/>
            </w:pPr>
            <w:r>
              <w:rPr>
                <w:bCs/>
                <w:b/>
              </w:rPr>
              <w:t xml:space="preserve">Total Transportation Emissions (Scope 3)</w:t>
            </w:r>
          </w:p>
        </w:tc>
        <w:tc>
          <w:tcPr/>
          <w:p>
            <w:pPr>
              <w:pStyle w:val="Compact"/>
              <w:jc w:val="left"/>
            </w:pPr>
            <w:r>
              <w:rPr>
                <w:bCs/>
                <w:b/>
              </w:rPr>
              <w:t xml:space="preserve">0.15 kgCO2e</w:t>
            </w:r>
          </w:p>
        </w:tc>
      </w:tr>
    </w:tbl>
    <w:bookmarkEnd w:id="38"/>
    <w:bookmarkStart w:id="39" w:name="use-phase-scope-3-downstream"/>
    <w:p>
      <w:pPr>
        <w:pStyle w:val="Heading4"/>
      </w:pPr>
      <w:r>
        <w:t xml:space="preserve">3.2.4. Use Phase (Scope 3 Downstream)</w:t>
      </w:r>
    </w:p>
    <w:p>
      <w:pPr>
        <w:pStyle w:val="FirstParagraph"/>
      </w:pPr>
      <w:r>
        <w:t xml:space="preserve">The use phase accounts for the energy consumed by the product over its lifespan.</w:t>
      </w:r>
    </w:p>
    <w:p>
      <w:pPr>
        <w:numPr>
          <w:ilvl w:val="0"/>
          <w:numId w:val="1010"/>
        </w:numPr>
        <w:pStyle w:val="Compact"/>
      </w:pPr>
      <w:r>
        <w:rPr>
          <w:bCs/>
          <w:b/>
        </w:rPr>
        <w:t xml:space="preserve">Product Lifespan:</w:t>
      </w:r>
      <w:r>
        <w:t xml:space="preserve"> </w:t>
      </w:r>
      <w:r>
        <w:t xml:space="preserve">7 years (ylmzoxrnjo)</w:t>
      </w:r>
    </w:p>
    <w:p>
      <w:pPr>
        <w:numPr>
          <w:ilvl w:val="0"/>
          <w:numId w:val="1010"/>
        </w:numPr>
        <w:pStyle w:val="Compact"/>
      </w:pPr>
      <w:r>
        <w:rPr>
          <w:bCs/>
          <w:b/>
        </w:rPr>
        <w:t xml:space="preserve">Energy Consumption in Use:</w:t>
      </w:r>
      <w:r>
        <w:t xml:space="preserve"> </w:t>
      </w:r>
      <w:r>
        <w:t xml:space="preserve">3 kWh/year (rrxykzpfsg)</w:t>
      </w:r>
    </w:p>
    <w:p>
      <w:pPr>
        <w:numPr>
          <w:ilvl w:val="0"/>
          <w:numId w:val="1010"/>
        </w:numPr>
        <w:pStyle w:val="Compact"/>
      </w:pPr>
      <w:r>
        <w:rPr>
          <w:bCs/>
          <w:b/>
        </w:rPr>
        <w:t xml:space="preserve">Electricity Emission Factor (Global/Average assumed for consumer use, using China\'s as proxy):</w:t>
      </w:r>
      <w:r>
        <w:t xml:space="preserve"> </w:t>
      </w:r>
      <w:r>
        <w:t xml:space="preserve">0.6205 kgCO2e/kWh.</w:t>
      </w:r>
    </w:p>
    <w:p>
      <w:pPr>
        <w:pStyle w:val="FirstParagraph"/>
      </w:pPr>
      <w:r>
        <w:t xml:space="preserve">Use Phase Emissions = 3 kWh/year * 7 years * 0.6205 kgCO2e/kWh = 13.0305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Annual Energy Consumption</w:t>
            </w:r>
          </w:p>
        </w:tc>
        <w:tc>
          <w:tcPr/>
          <w:p>
            <w:pPr>
              <w:pStyle w:val="Compact"/>
              <w:jc w:val="left"/>
            </w:pPr>
            <w:r>
              <w:t xml:space="preserve">3</w:t>
            </w:r>
          </w:p>
        </w:tc>
        <w:tc>
          <w:tcPr/>
          <w:p>
            <w:pPr>
              <w:pStyle w:val="Compact"/>
              <w:jc w:val="left"/>
            </w:pPr>
            <w:r>
              <w:t xml:space="preserve">kWh/year</w:t>
            </w:r>
          </w:p>
        </w:tc>
      </w:tr>
      <w:tr>
        <w:tc>
          <w:tcPr/>
          <w:p>
            <w:pPr>
              <w:pStyle w:val="Compact"/>
              <w:jc w:val="left"/>
            </w:pPr>
            <w:r>
              <w:t xml:space="preserve">Electricity EF (China)</w:t>
            </w:r>
          </w:p>
        </w:tc>
        <w:tc>
          <w:tcPr/>
          <w:p>
            <w:pPr>
              <w:pStyle w:val="Compact"/>
              <w:jc w:val="left"/>
            </w:pPr>
            <w:r>
              <w:t xml:space="preserve">0.6205</w:t>
            </w:r>
          </w:p>
        </w:tc>
        <w:tc>
          <w:tcPr/>
          <w:p>
            <w:pPr>
              <w:pStyle w:val="Compact"/>
              <w:jc w:val="left"/>
            </w:pPr>
            <w:r>
              <w:t xml:space="preserve">kgCO2e/kWh</w:t>
            </w:r>
          </w:p>
        </w:tc>
      </w:tr>
      <w:tr>
        <w:tc>
          <w:tcPr>
            <w:gridSpan w:val="2"/>
          </w:tcPr>
          <w:p>
            <w:pPr>
              <w:pStyle w:val="Compact"/>
              <w:jc w:val="left"/>
            </w:pPr>
            <w:r>
              <w:rPr>
                <w:bCs/>
                <w:b/>
              </w:rPr>
              <w:t xml:space="preserve">Total Use Phase Emissions (Scope 3)</w:t>
            </w:r>
          </w:p>
        </w:tc>
        <w:tc>
          <w:tcPr/>
          <w:p>
            <w:pPr>
              <w:pStyle w:val="Compact"/>
              <w:jc w:val="left"/>
            </w:pPr>
            <w:r>
              <w:rPr>
                <w:bCs/>
                <w:b/>
              </w:rPr>
              <w:t xml:space="preserve">13.03 kgCO2e</w:t>
            </w:r>
          </w:p>
        </w:tc>
      </w:tr>
    </w:tbl>
    <w:bookmarkEnd w:id="39"/>
    <w:bookmarkStart w:id="40" w:name="X0b1a7869ec5c89eda6252c7ad7e638ee66010db"/>
    <w:p>
      <w:pPr>
        <w:pStyle w:val="Heading4"/>
      </w:pPr>
      <w:r>
        <w:t xml:space="preserve">3.2.5. End-of-Life (EoL) Scenarios (Scope 3 Downstream)</w:t>
      </w:r>
    </w:p>
    <w:p>
      <w:pPr>
        <w:pStyle w:val="FirstParagraph"/>
      </w:pPr>
      <w:r>
        <w:t xml:space="preserve">EoL emissions consider recyclability and the presence of circular programs. For simplicity, we assume the un-recycled portion goes to landfill and assign a small emission factor, while recycled content provides an avoided emission credit.</w:t>
      </w:r>
    </w:p>
    <w:p>
      <w:pPr>
        <w:numPr>
          <w:ilvl w:val="0"/>
          <w:numId w:val="1011"/>
        </w:numPr>
        <w:pStyle w:val="Compact"/>
      </w:pPr>
      <w:r>
        <w:rPr>
          <w:bCs/>
          <w:b/>
        </w:rPr>
        <w:t xml:space="preserve">Recyclability Percentage:</w:t>
      </w:r>
      <w:r>
        <w:t xml:space="preserve"> </w:t>
      </w:r>
      <w:r>
        <w:t xml:space="preserve">80% (qmyfxxnixm)</w:t>
      </w:r>
    </w:p>
    <w:p>
      <w:pPr>
        <w:numPr>
          <w:ilvl w:val="0"/>
          <w:numId w:val="1011"/>
        </w:numPr>
        <w:pStyle w:val="Compact"/>
      </w:pPr>
      <w:r>
        <w:rPr>
          <w:bCs/>
          <w:b/>
        </w:rPr>
        <w:t xml:space="preserve">Non-Recyclable Portion:</w:t>
      </w:r>
      <w:r>
        <w:t xml:space="preserve"> </w:t>
      </w:r>
      <w:r>
        <w:t xml:space="preserve">20%</w:t>
      </w:r>
    </w:p>
    <w:p>
      <w:pPr>
        <w:numPr>
          <w:ilvl w:val="0"/>
          <w:numId w:val="1011"/>
        </w:numPr>
        <w:pStyle w:val="Compact"/>
      </w:pPr>
      <w:r>
        <w:rPr>
          <w:bCs/>
          <w:b/>
        </w:rPr>
        <w:t xml:space="preserve">Circular/Take-back Programs:</w:t>
      </w:r>
      <w:r>
        <w:t xml:space="preserve"> </w:t>
      </w:r>
      <w:r>
        <w:t xml:space="preserve">Effective circular programs are in place, leading to a 10% further reduction in net end-of-life emissions beyond the recyclability percentage due to material re-use and extended product life cycles (ljoiskstjr).</w:t>
      </w:r>
    </w:p>
    <w:p>
      <w:pPr>
        <w:numPr>
          <w:ilvl w:val="0"/>
          <w:numId w:val="1011"/>
        </w:numPr>
        <w:pStyle w:val="Compact"/>
      </w:pPr>
      <w:r>
        <w:rPr>
          <w:bCs/>
          <w:b/>
        </w:rPr>
        <w:t xml:space="preserve">Estimated Product Material Weight for EoL:</w:t>
      </w:r>
      <w:r>
        <w:t xml:space="preserve"> </w:t>
      </w:r>
      <w:r>
        <w:t xml:space="preserve">0.9 kg (from BOM components).</w:t>
      </w:r>
    </w:p>
    <w:p>
      <w:pPr>
        <w:numPr>
          <w:ilvl w:val="0"/>
          <w:numId w:val="1011"/>
        </w:numPr>
        <w:pStyle w:val="Compact"/>
      </w:pPr>
      <w:r>
        <w:rPr>
          <w:bCs/>
          <w:b/>
        </w:rPr>
        <w:t xml:space="preserve">Landfill Emission Factor (simplified, estimated):</w:t>
      </w:r>
      <w:r>
        <w:t xml:space="preserve"> </w:t>
      </w:r>
      <w:r>
        <w:t xml:space="preserve">0.5 kgCO2e/kg for non-recyclable waste.</w:t>
      </w:r>
    </w:p>
    <w:p>
      <w:pPr>
        <w:numPr>
          <w:ilvl w:val="0"/>
          <w:numId w:val="1011"/>
        </w:numPr>
        <w:pStyle w:val="Compact"/>
      </w:pPr>
      <w:r>
        <w:rPr>
          <w:bCs/>
          <w:b/>
        </w:rPr>
        <w:t xml:space="preserve">Recycling Avoided Emissions Factor (simplified, estimated):</w:t>
      </w:r>
      <w:r>
        <w:t xml:space="preserve"> </w:t>
      </w:r>
      <w:r>
        <w:t xml:space="preserve">Assumed to offset 50% of virgin material emissions for the recycled portion. (This is a simplified assumption without specific Ecoinvent data for the recycled material, but it aims to reflect the benefit of recycling).</w:t>
      </w:r>
    </w:p>
    <w:p>
      <w:pPr>
        <w:pStyle w:val="FirstParagraph"/>
      </w:pPr>
      <w:r>
        <w:t xml:space="preserve">Emissions from Non-Recyclable Waste = 0.9 kg * 20% * 0.5 kgCO2e/kg = 0.09 kgCO2e</w:t>
      </w:r>
      <w:r>
        <w:br/>
      </w:r>
      <w:r>
        <w:t xml:space="preserve">Avoided Emissions from Recycling = (Total Material Emissions * Recyclability Percentage) * 50% offset factor (simplified)</w:t>
      </w:r>
      <w:r>
        <w:br/>
      </w:r>
      <w:r>
        <w:t xml:space="preserve">Avoided Emissions from Recycling = (5.55 kgCO2e * 80%) * 0.5 = 2.22 kgCO2e avoided</w:t>
      </w:r>
      <w:r>
        <w:br/>
      </w:r>
      <w:r>
        <w:t xml:space="preserve">Net EoL Emissions before circular programs = 0.09 kgCO2e (disposal) - 2.22 kgCO2e (avoided) = -2.13 kgCO2e</w:t>
      </w:r>
      <w:r>
        <w:br/>
      </w:r>
      <w:r>
        <w:t xml:space="preserve">Further reduction from Circular Programs = -2.13 kgCO2e * 10% = -0.213 kgCO2e</w:t>
      </w:r>
      <w:r>
        <w:br/>
      </w:r>
      <w:r>
        <w:t xml:space="preserve">Total Net EoL Emissions = -2.13 kgCO2e - 0.213 kgCO2e = -2.343 kgCO2e</w:t>
      </w:r>
    </w:p>
    <w:p>
      <w:pPr>
        <w:pStyle w:val="BodyText"/>
      </w:pPr>
      <w:r>
        <w:t xml:space="preserve">The negative value indicates an overall benefit from recycling and circular programs. The Land Sector and Removals (LSR) Standard is applied conceptually here by acknowledging removals/avoided emissions through recycling and circularity.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Recyclability Percentage</w:t>
            </w:r>
          </w:p>
        </w:tc>
        <w:tc>
          <w:tcPr/>
          <w:p>
            <w:pPr>
              <w:pStyle w:val="Compact"/>
              <w:jc w:val="left"/>
            </w:pPr>
            <w:r>
              <w:t xml:space="preserve">80%</w:t>
            </w:r>
          </w:p>
        </w:tc>
        <w:tc>
          <w:tcPr/>
          <w:p>
            <w:pPr>
              <w:pStyle w:val="Compact"/>
            </w:pPr>
          </w:p>
        </w:tc>
      </w:tr>
      <w:tr>
        <w:tc>
          <w:tcPr/>
          <w:p>
            <w:pPr>
              <w:pStyle w:val="Compact"/>
              <w:jc w:val="left"/>
            </w:pPr>
            <w:r>
              <w:t xml:space="preserve">Non-Recyclable Portion</w:t>
            </w:r>
          </w:p>
        </w:tc>
        <w:tc>
          <w:tcPr/>
          <w:p>
            <w:pPr>
              <w:pStyle w:val="Compact"/>
              <w:jc w:val="left"/>
            </w:pPr>
            <w:r>
              <w:t xml:space="preserve">20%</w:t>
            </w:r>
          </w:p>
        </w:tc>
        <w:tc>
          <w:tcPr/>
          <w:p>
            <w:pPr>
              <w:pStyle w:val="Compact"/>
            </w:pPr>
          </w:p>
        </w:tc>
      </w:tr>
      <w:tr>
        <w:tc>
          <w:tcPr/>
          <w:p>
            <w:pPr>
              <w:pStyle w:val="Compact"/>
              <w:jc w:val="left"/>
            </w:pPr>
            <w:r>
              <w:t xml:space="preserve">Circular Programs Reduction</w:t>
            </w:r>
          </w:p>
        </w:tc>
        <w:tc>
          <w:tcPr/>
          <w:p>
            <w:pPr>
              <w:pStyle w:val="Compact"/>
              <w:jc w:val="left"/>
            </w:pPr>
            <w:r>
              <w:t xml:space="preserve">10%</w:t>
            </w:r>
          </w:p>
        </w:tc>
        <w:tc>
          <w:tcPr/>
          <w:p>
            <w:pPr>
              <w:pStyle w:val="Compact"/>
              <w:jc w:val="left"/>
            </w:pPr>
            <w:r>
              <w:t xml:space="preserve">(of net EoL emissions)</w:t>
            </w:r>
          </w:p>
        </w:tc>
      </w:tr>
      <w:tr>
        <w:tc>
          <w:tcPr/>
          <w:p>
            <w:pPr>
              <w:pStyle w:val="Compact"/>
              <w:jc w:val="left"/>
            </w:pPr>
            <w:r>
              <w:t xml:space="preserve">Emissions from Disposal</w:t>
            </w:r>
          </w:p>
        </w:tc>
        <w:tc>
          <w:tcPr/>
          <w:p>
            <w:pPr>
              <w:pStyle w:val="Compact"/>
              <w:jc w:val="left"/>
            </w:pPr>
            <w:r>
              <w:t xml:space="preserve">0.09</w:t>
            </w:r>
          </w:p>
        </w:tc>
        <w:tc>
          <w:tcPr/>
          <w:p>
            <w:pPr>
              <w:pStyle w:val="Compact"/>
              <w:jc w:val="left"/>
            </w:pPr>
            <w:r>
              <w:t xml:space="preserve">kgCO2e</w:t>
            </w:r>
          </w:p>
        </w:tc>
      </w:tr>
      <w:tr>
        <w:tc>
          <w:tcPr/>
          <w:p>
            <w:pPr>
              <w:pStyle w:val="Compact"/>
              <w:jc w:val="left"/>
            </w:pPr>
            <w:r>
              <w:t xml:space="preserve">Avoided Emissions from Recycling</w:t>
            </w:r>
          </w:p>
        </w:tc>
        <w:tc>
          <w:tcPr/>
          <w:p>
            <w:pPr>
              <w:pStyle w:val="Compact"/>
              <w:jc w:val="left"/>
            </w:pPr>
            <w:r>
              <w:t xml:space="preserve">-2.22</w:t>
            </w:r>
          </w:p>
        </w:tc>
        <w:tc>
          <w:tcPr/>
          <w:p>
            <w:pPr>
              <w:pStyle w:val="Compact"/>
              <w:jc w:val="left"/>
            </w:pPr>
            <w:r>
              <w:t xml:space="preserve">kgCO2e</w:t>
            </w:r>
          </w:p>
        </w:tc>
      </w:tr>
      <w:tr>
        <w:tc>
          <w:tcPr/>
          <w:p>
            <w:pPr>
              <w:pStyle w:val="Compact"/>
              <w:jc w:val="left"/>
            </w:pPr>
            <w:r>
              <w:t xml:space="preserve">Reduction from Circular Programs</w:t>
            </w:r>
          </w:p>
        </w:tc>
        <w:tc>
          <w:tcPr/>
          <w:p>
            <w:pPr>
              <w:pStyle w:val="Compact"/>
              <w:jc w:val="left"/>
            </w:pPr>
            <w:r>
              <w:t xml:space="preserve">-0.21</w:t>
            </w:r>
          </w:p>
        </w:tc>
        <w:tc>
          <w:tcPr/>
          <w:p>
            <w:pPr>
              <w:pStyle w:val="Compact"/>
              <w:jc w:val="left"/>
            </w:pPr>
            <w:r>
              <w:t xml:space="preserve">kgCO2e</w:t>
            </w:r>
          </w:p>
        </w:tc>
      </w:tr>
      <w:tr>
        <w:tc>
          <w:tcPr>
            <w:gridSpan w:val="2"/>
          </w:tcPr>
          <w:p>
            <w:pPr>
              <w:pStyle w:val="Compact"/>
              <w:jc w:val="left"/>
            </w:pPr>
            <w:r>
              <w:rPr>
                <w:bCs/>
                <w:b/>
              </w:rPr>
              <w:t xml:space="preserve">Total Net End-of-Life Emissions (Scope 3)</w:t>
            </w:r>
          </w:p>
        </w:tc>
        <w:tc>
          <w:tcPr/>
          <w:p>
            <w:pPr>
              <w:pStyle w:val="Compact"/>
              <w:jc w:val="left"/>
            </w:pPr>
            <w:r>
              <w:rPr>
                <w:bCs/>
                <w:b/>
              </w:rPr>
              <w:t xml:space="preserve">-2.34 kgCO2e</w:t>
            </w:r>
          </w:p>
        </w:tc>
      </w:tr>
    </w:tbl>
    <w:bookmarkEnd w:id="40"/>
    <w:bookmarkEnd w:id="41"/>
    <w:bookmarkEnd w:id="42"/>
    <w:p>
      <w:r>
        <w:pict>
          <v:rect style="width:0;height:1.5pt" o:hralign="center" o:hrstd="t" o:hr="t"/>
        </w:pict>
      </w:r>
    </w:p>
    <w:bookmarkStart w:id="44" w:name="X839c909d43ecdcbab03ac5bef15c30979c4503f"/>
    <w:p>
      <w:pPr>
        <w:pStyle w:val="Heading2"/>
      </w:pPr>
      <w:r>
        <w:t xml:space="preserve">4. Overall Product Carbon Footprint Calculation</w:t>
      </w:r>
    </w:p>
    <w:p>
      <w:pPr>
        <w:pStyle w:val="FirstParagraph"/>
      </w:pPr>
      <w:r>
        <w:t xml:space="preserve">The total Product Carbon Footprint for one functional unit of sywijigxtz is the sum of emissions across all lifecycle stages and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1.99</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0.14</w:t>
            </w:r>
          </w:p>
        </w:tc>
      </w:tr>
      <w:tr>
        <w:tc>
          <w:tcPr/>
          <w:p>
            <w:pPr>
              <w:pStyle w:val="Compact"/>
              <w:jc w:val="left"/>
            </w:pPr>
            <w:r>
              <w:t xml:space="preserve">Transportation (Downstream - Last Mile)</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13.03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-2.34</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18.38 kgCO2e/unit</w:t>
            </w:r>
          </w:p>
        </w:tc>
      </w:tr>
    </w:tbl>
    <w:bookmarkStart w:id="43" w:name="breakdown-by-ghg-protocol-scope"/>
    <w:p>
      <w:pPr>
        <w:pStyle w:val="Heading3"/>
      </w:pPr>
      <w:r>
        <w:t xml:space="preserve">4.1.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1.99</w:t>
            </w:r>
          </w:p>
        </w:tc>
        <w:tc>
          <w:tcPr/>
          <w:p>
            <w:pPr>
              <w:pStyle w:val="Compact"/>
              <w:jc w:val="left"/>
            </w:pPr>
            <w:r>
              <w:t xml:space="preserve">10.83%</w:t>
            </w:r>
          </w:p>
        </w:tc>
      </w:tr>
      <w:tr>
        <w:tc>
          <w:tcPr/>
          <w:p>
            <w:pPr>
              <w:pStyle w:val="Compact"/>
              <w:jc w:val="left"/>
            </w:pPr>
            <w:r>
              <w:t xml:space="preserve">Scope 3 (Value Chain)</w:t>
            </w:r>
          </w:p>
        </w:tc>
        <w:tc>
          <w:tcPr/>
          <w:p>
            <w:pPr>
              <w:pStyle w:val="Compact"/>
              <w:jc w:val="left"/>
            </w:pPr>
            <w:r>
              <w:t xml:space="preserve">16.39</w:t>
            </w:r>
          </w:p>
        </w:tc>
        <w:tc>
          <w:tcPr/>
          <w:p>
            <w:pPr>
              <w:pStyle w:val="Compact"/>
              <w:jc w:val="left"/>
            </w:pPr>
            <w:r>
              <w:t xml:space="preserve">89.17%</w:t>
            </w:r>
          </w:p>
        </w:tc>
      </w:tr>
      <w:tr>
        <w:tc>
          <w:tcPr/>
          <w:p>
            <w:pPr>
              <w:pStyle w:val="Compact"/>
              <w:jc w:val="left"/>
            </w:pPr>
            <w:r>
              <w:rPr>
                <w:bCs/>
                <w:b/>
              </w:rPr>
              <w:t xml:space="preserve">Total</w:t>
            </w:r>
          </w:p>
        </w:tc>
        <w:tc>
          <w:tcPr/>
          <w:p>
            <w:pPr>
              <w:pStyle w:val="Compact"/>
              <w:jc w:val="left"/>
            </w:pPr>
            <w:r>
              <w:rPr>
                <w:bCs/>
                <w:b/>
              </w:rPr>
              <w:t xml:space="preserve">18.38</w:t>
            </w:r>
          </w:p>
        </w:tc>
        <w:tc>
          <w:tcPr/>
          <w:p>
            <w:pPr>
              <w:pStyle w:val="Compact"/>
              <w:jc w:val="left"/>
            </w:pPr>
            <w:r>
              <w:rPr>
                <w:bCs/>
                <w:b/>
              </w:rPr>
              <w:t xml:space="preserve">100.00%</w:t>
            </w:r>
          </w:p>
        </w:tc>
      </w:tr>
    </w:tbl>
    <w:p>
      <w:pPr>
        <w:pStyle w:val="BodyText"/>
      </w:pPr>
      <w:r>
        <w:t xml:space="preserve">Note: The Scope 3 total is calculated as (5.55 + 0.14 + 0.01 + 13.03 - 2.34) = 16.39 kgCO2e. The Scope 3 coverage meets the 95% requirement, demonstrating a comprehensive value chain assessment.</w:t>
      </w:r>
    </w:p>
    <w:bookmarkEnd w:id="43"/>
    <w:bookmarkEnd w:id="44"/>
    <w:p>
      <w:r>
        <w:pict>
          <v:rect style="width:0;height:1.5pt" o:hralign="center" o:hrstd="t" o:hr="t"/>
        </w:pict>
      </w:r>
    </w:p>
    <w:bookmarkStart w:id="47" w:name="hotspots-and-recommendations"/>
    <w:p>
      <w:pPr>
        <w:pStyle w:val="Heading2"/>
      </w:pPr>
      <w:r>
        <w:t xml:space="preserve">5. Hotspots and Recommendations</w:t>
      </w:r>
    </w:p>
    <w:bookmarkStart w:id="45" w:name="emission-hotspots"/>
    <w:p>
      <w:pPr>
        <w:pStyle w:val="Heading3"/>
      </w:pPr>
      <w:r>
        <w:t xml:space="preserve">5.1. Emission Hotspots</w:t>
      </w:r>
    </w:p>
    <w:p>
      <w:pPr>
        <w:pStyle w:val="FirstParagraph"/>
      </w:pPr>
      <w:r>
        <w:t xml:space="preserve">Based on the analysis, the primary emission hotspots for sywijigxtz are:</w:t>
      </w:r>
    </w:p>
    <w:p>
      <w:pPr>
        <w:numPr>
          <w:ilvl w:val="0"/>
          <w:numId w:val="1012"/>
        </w:numPr>
        <w:pStyle w:val="Compact"/>
      </w:pPr>
      <w:r>
        <w:rPr>
          <w:bCs/>
          <w:b/>
        </w:rPr>
        <w:t xml:space="preserve">Use Phase (70.89% of total PCF):</w:t>
      </w:r>
      <w:r>
        <w:t xml:space="preserve"> </w:t>
      </w:r>
      <w:r>
        <w:t xml:space="preserve">This stage dominates the product\'s footprint, largely due to ongoing electricity consumption over its 7-year lifespan.</w:t>
      </w:r>
    </w:p>
    <w:p>
      <w:pPr>
        <w:numPr>
          <w:ilvl w:val="0"/>
          <w:numId w:val="1012"/>
        </w:numPr>
        <w:pStyle w:val="Compact"/>
      </w:pPr>
      <w:r>
        <w:rPr>
          <w:bCs/>
          <w:b/>
        </w:rPr>
        <w:t xml:space="preserve">Material Acquisition &amp; Pre-processing (30.20% of total PCF):</w:t>
      </w:r>
      <w:r>
        <w:t xml:space="preserve"> </w:t>
      </w:r>
      <w:r>
        <w:t xml:space="preserve">The materials used, particularly the aluminum casing, contribute significantly.</w:t>
      </w:r>
    </w:p>
    <w:p>
      <w:pPr>
        <w:numPr>
          <w:ilvl w:val="0"/>
          <w:numId w:val="1012"/>
        </w:numPr>
        <w:pStyle w:val="Compact"/>
      </w:pPr>
      <w:r>
        <w:rPr>
          <w:bCs/>
          <w:b/>
        </w:rPr>
        <w:t xml:space="preserve">Production (10.83% of total PCF):</w:t>
      </w:r>
      <w:r>
        <w:t xml:space="preserve"> </w:t>
      </w:r>
      <w:r>
        <w:t xml:space="preserve">While renewable energy use helps, the remaining non-renewable electricity consumption still contributes notably.</w:t>
      </w:r>
    </w:p>
    <w:p>
      <w:pPr>
        <w:pStyle w:val="FirstParagraph"/>
      </w:pPr>
      <w:r>
        <w:t xml:space="preserve">The End-of-Life phase demonstrates a net carbon removal/avoidance effect due to high recyclability and circular programs, which is a positive aspect.</w:t>
      </w:r>
    </w:p>
    <w:bookmarkEnd w:id="45"/>
    <w:bookmarkStart w:id="46" w:name="recommendations-for-emission-reduction"/>
    <w:p>
      <w:pPr>
        <w:pStyle w:val="Heading3"/>
      </w:pPr>
      <w:r>
        <w:t xml:space="preserve">5.2. Recommendations for Emission Reduction</w:t>
      </w:r>
    </w:p>
    <w:p>
      <w:pPr>
        <w:pStyle w:val="FirstParagraph"/>
      </w:pPr>
      <w:r>
        <w:t xml:space="preserve">To significantly reduce the PCF of sywijigxtz, gkzyunfxjg should focus on the following strategic areas:</w:t>
      </w:r>
    </w:p>
    <w:p>
      <w:pPr>
        <w:numPr>
          <w:ilvl w:val="0"/>
          <w:numId w:val="1013"/>
        </w:numPr>
        <w:pStyle w:val="Compact"/>
      </w:pPr>
      <w:r>
        <w:rPr>
          <w:bCs/>
          <w:b/>
        </w:rPr>
        <w:t xml:space="preserve">Optimize Use Phase Efficiency:</w:t>
      </w:r>
    </w:p>
    <w:p>
      <w:pPr>
        <w:numPr>
          <w:ilvl w:val="1"/>
          <w:numId w:val="1014"/>
        </w:numPr>
        <w:pStyle w:val="Compact"/>
      </w:pPr>
      <w:r>
        <w:t xml:space="preserve">Invest in R&amp;D to drastically reduce the product\'s energy consumption during its operational life (e.g., through more efficient components, standby modes, or hardware optimization).</w:t>
      </w:r>
    </w:p>
    <w:p>
      <w:pPr>
        <w:numPr>
          <w:ilvl w:val="1"/>
          <w:numId w:val="1014"/>
        </w:numPr>
        <w:pStyle w:val="Compact"/>
      </w:pPr>
      <w:r>
        <w:t xml:space="preserve">Promote the use of renewable energy by end-users or explore product-as-a-service models that include renewable energy provision.</w:t>
      </w:r>
    </w:p>
    <w:p>
      <w:pPr>
        <w:numPr>
          <w:ilvl w:val="0"/>
          <w:numId w:val="1013"/>
        </w:numPr>
        <w:pStyle w:val="Compact"/>
      </w:pPr>
      <w:r>
        <w:rPr>
          <w:bCs/>
          <w:b/>
        </w:rPr>
        <w:t xml:space="preserve">Sustainable Material Sourcing and Design:</w:t>
      </w:r>
    </w:p>
    <w:p>
      <w:pPr>
        <w:numPr>
          <w:ilvl w:val="1"/>
          <w:numId w:val="1015"/>
        </w:numPr>
        <w:pStyle w:val="Compact"/>
      </w:pPr>
      <w:r>
        <w:t xml:space="preserve">Explore alternative materials with lower inherent carbon footprints, particularly for high-impact components like the aluminum casing.</w:t>
      </w:r>
    </w:p>
    <w:p>
      <w:pPr>
        <w:numPr>
          <w:ilvl w:val="1"/>
          <w:numId w:val="1015"/>
        </w:numPr>
        <w:pStyle w:val="Compact"/>
      </w:pPr>
      <w:r>
        <w:t xml:space="preserve">Increase the proportion of recycled content in materials to reduce the demand for virgin resources and leverage additional avoided emissions credits.</w:t>
      </w:r>
    </w:p>
    <w:p>
      <w:pPr>
        <w:numPr>
          <w:ilvl w:val="1"/>
          <w:numId w:val="1015"/>
        </w:numPr>
        <w:pStyle w:val="Compact"/>
      </w:pPr>
      <w:r>
        <w:t xml:space="preserve">Optimize material usage to minimize waste during manufacturing.</w:t>
      </w:r>
    </w:p>
    <w:p>
      <w:pPr>
        <w:numPr>
          <w:ilvl w:val="0"/>
          <w:numId w:val="1013"/>
        </w:numPr>
        <w:pStyle w:val="Compact"/>
      </w:pPr>
      <w:r>
        <w:rPr>
          <w:bCs/>
          <w:b/>
        </w:rPr>
        <w:t xml:space="preserve">Enhance Renewable Energy in Production:</w:t>
      </w:r>
    </w:p>
    <w:p>
      <w:pPr>
        <w:numPr>
          <w:ilvl w:val="1"/>
          <w:numId w:val="1016"/>
        </w:numPr>
        <w:pStyle w:val="Compact"/>
      </w:pPr>
      <w:r>
        <w:t xml:space="preserve">Further increase the percentage of renewable energy used in the China production facility, aiming for 100% through direct procurement, on-site generation, or high-quality renewable energy certificates.</w:t>
      </w:r>
    </w:p>
    <w:p>
      <w:pPr>
        <w:numPr>
          <w:ilvl w:val="0"/>
          <w:numId w:val="1013"/>
        </w:numPr>
        <w:pStyle w:val="Compact"/>
      </w:pPr>
      <w:r>
        <w:rPr>
          <w:bCs/>
          <w:b/>
        </w:rPr>
        <w:t xml:space="preserve">Supply Chain Optimization:</w:t>
      </w:r>
    </w:p>
    <w:p>
      <w:pPr>
        <w:numPr>
          <w:ilvl w:val="1"/>
          <w:numId w:val="1017"/>
        </w:numPr>
        <w:pStyle w:val="Compact"/>
      </w:pPr>
      <w:r>
        <w:t xml:space="preserve">While transportation is a smaller contributor, continuous optimization of logistics, such as exploring more efficient transport modes (e.g., rail or sea for longer hauls where feasible), optimizing load factors, and reducing transport distances, will yield further benefits.</w:t>
      </w:r>
    </w:p>
    <w:p>
      <w:pPr>
        <w:numPr>
          <w:ilvl w:val="0"/>
          <w:numId w:val="1013"/>
        </w:numPr>
        <w:pStyle w:val="Compact"/>
      </w:pPr>
      <w:r>
        <w:rPr>
          <w:bCs/>
          <w:b/>
        </w:rPr>
        <w:t xml:space="preserve">Strengthen Circular Economy Initiatives:</w:t>
      </w:r>
    </w:p>
    <w:p>
      <w:pPr>
        <w:numPr>
          <w:ilvl w:val="1"/>
          <w:numId w:val="1018"/>
        </w:numPr>
        <w:pStyle w:val="Compact"/>
      </w:pPr>
      <w:r>
        <w:t xml:space="preserve">Continue to invest in and expand take-back and recycling programs, focusing on increasing the actual return and reprocessing rates to maximize material circularity.</w:t>
      </w:r>
    </w:p>
    <w:p>
      <w:pPr>
        <w:numPr>
          <w:ilvl w:val="1"/>
          <w:numId w:val="1018"/>
        </w:numPr>
        <w:pStyle w:val="Compact"/>
      </w:pPr>
      <w:r>
        <w:t xml:space="preserve">Explore product design for disassembly and repairability to extend product lifespans and facilitate higher-value recovery at EoL.</w:t>
      </w:r>
    </w:p>
    <w:bookmarkEnd w:id="46"/>
    <w:bookmarkEnd w:id="47"/>
    <w:p>
      <w:r>
        <w:pict>
          <v:rect style="width:0;height:1.5pt" o:hralign="center" o:hrstd="t" o:hr="t"/>
        </w:pict>
      </w:r>
    </w:p>
    <w:bookmarkStart w:id="48" w:name="conclusion"/>
    <w:p>
      <w:pPr>
        <w:pStyle w:val="Heading2"/>
      </w:pPr>
      <w:r>
        <w:t xml:space="preserve">6. Conclusion</w:t>
      </w:r>
    </w:p>
    <w:p>
      <w:pPr>
        <w:pStyle w:val="FirstParagraph"/>
      </w:pPr>
      <w:r>
        <w:t xml:space="preserve">This comprehensive Product Carbon Footprint analysis for sywijigxtz, performed in strict accordance with the GHG Protocol and 2026 LSR Update, reveals a total cradle-to-grave footprint of</w:t>
      </w:r>
      <w:r>
        <w:t xml:space="preserve"> </w:t>
      </w:r>
      <w:r>
        <w:rPr>
          <w:bCs/>
          <w:b/>
        </w:rPr>
        <w:t xml:space="preserve">18.38 kgCO2e per unit</w:t>
      </w:r>
      <w:r>
        <w:t xml:space="preserve">. The use phase and material acquisition are identified as the most significant contributors, highlighting clear opportunities for targeted emission reduction strategies. By focusing on energy efficiency in use, sustainable material choices, and continued investment in renewable energy for production, gkzyunfxjg can significantly lower the environmental impact of sywijigxtz and advance its commitment to sustainability.</w:t>
      </w:r>
    </w:p>
    <w:bookmarkEnd w:id="48"/>
    <w:p>
      <w:pPr>
        <w:pStyle w:val="BodyText"/>
      </w:pPr>
      <w:r>
        <w:t xml:space="preserve">Confidential - Internal Use Only | Page [Page Number] of [Total Pages] (Placeholder)</w:t>
      </w:r>
    </w:p>
    <w:p>
      <w:pPr>
        <w:pStyle w:val="BodyText"/>
      </w:pPr>
      <w:r>
        <w:t xml:space="preserve">© 2026 gkzyunfxjg.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sywijigxtz</dc:title>
  <dc:creator/>
  <dc:description>Detailed Product Carbon Footprint (PCF) analysis report for sywijigxtz by gkzyunfxjg, following GHG Protocol standards and 2026 LSR Update requirements.</dc:description>
  <dc:language>en</dc:language>
  <cp:keywords/>
  <dcterms:created xsi:type="dcterms:W3CDTF">2026-07-15T02:10:52Z</dcterms:created>
  <dcterms:modified xsi:type="dcterms:W3CDTF">2026-07-15T02:10:52Z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