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syeplleknl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syeplleknl</w:t>
      </w:r>
    </w:p>
    <w:p>
      <w:pPr>
        <w:pStyle w:val="BodyText"/>
      </w:pPr>
      <w:r>
        <w:rPr>
          <w:bCs/>
          <w:b/>
        </w:rPr>
        <w:t xml:space="preserve">Company:</w:t>
      </w:r>
      <w:r>
        <w:t xml:space="preserve"> </w:t>
      </w:r>
      <w:r>
        <w:t xml:space="preserve">hyzltufvlj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oporxqpfuo</w:t>
      </w:r>
    </w:p>
    <w:p>
      <w:pPr>
        <w:pStyle w:val="BodyText"/>
      </w:pPr>
      <w:r>
        <w:t xml:space="preserve">Disclaimer: This report is generated based on available data and industry standards.</w:t>
      </w:r>
      <w:r>
        <w:t xml:space="preserve"> </w:t>
      </w:r>
      <w:r>
        <w:t xml:space="preserve">The calculations presented are illustrative and rely on the accuracy and completeness</w:t>
      </w:r>
      <w:r>
        <w:t xml:space="preserve"> </w:t>
      </w:r>
      <w:r>
        <w:t xml:space="preserve">of the provided input parameters.</w:t>
      </w:r>
    </w:p>
    <w:bookmarkEnd w:id="20"/>
    <w:bookmarkStart w:id="43" w:name="X6aae7ad863ed89d94784314ebf993648c83b613"/>
    <w:p>
      <w:pPr>
        <w:pStyle w:val="Heading1"/>
      </w:pPr>
      <w:r>
        <w:t xml:space="preserve">Product Carbon Footprint Analysis for syeplleknl</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syeplleknl, manufactured by hyzltufvlj.</w:t>
      </w:r>
      <w:r>
        <w:t xml:space="preserve"> </w:t>
      </w:r>
      <w:r>
        <w:t xml:space="preserve">The analysis adheres strictly to the GHG Protocol accounting standard, incorporating the 2026 Land Sector and Removals (LSR)</w:t>
      </w:r>
      <w:r>
        <w:t xml:space="preserve"> </w:t>
      </w:r>
      <w:r>
        <w:t xml:space="preserve">Standard and ensuring at least 95% coverage for Scope 3 emissions. As Senior Sustainability Consultant oporxqpfuo,</w:t>
      </w:r>
      <w:r>
        <w:t xml:space="preserve"> </w:t>
      </w:r>
      <w:r>
        <w:t xml:space="preserve">this assessment aims to quantify the greenhouse gas emissions associated with the product\'s entire lifecycle,</w:t>
      </w:r>
      <w:r>
        <w:t xml:space="preserve"> </w:t>
      </w:r>
      <w:r>
        <w:t xml:space="preserve">from material acquisition to end-of-life, to identify key hotspots and inform strategic sustainability initiatives.</w:t>
      </w:r>
      <w:r>
        <w:t xml:space="preserve"> </w:t>
      </w:r>
      <w:r>
        <w:t xml:space="preserve">The report utilizes specific data points for the Bill of Materials, transport logistics, energy consumption, product lifespan,</w:t>
      </w:r>
      <w:r>
        <w:t xml:space="preserve"> </w:t>
      </w:r>
      <w:r>
        <w:t xml:space="preserve">and end-of-life scenarios to provide a robust and accurate representation of syeplleknl\'s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foundational parameters for the study.</w:t>
      </w:r>
    </w:p>
    <w:p>
      <w:pPr>
        <w:numPr>
          <w:ilvl w:val="0"/>
          <w:numId w:val="1001"/>
        </w:numPr>
        <w:pStyle w:val="Compact"/>
      </w:pPr>
      <w:r>
        <w:rPr>
          <w:bCs/>
          <w:b/>
        </w:rPr>
        <w:t xml:space="preserve">Functional Unit:</w:t>
      </w:r>
      <w:r>
        <w:t xml:space="preserve"> </w:t>
      </w:r>
      <w:r>
        <w:t xml:space="preserve">The functional unit for this PCF study is defined as 1.0 unit of syeplleknl.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is set as \'factory_gate\'. This means the analysis encompasses all processes from raw material extraction, manufacturing, and transport up to the point the finished product leaves the manufacturing facility. Additionally, for a comprehensive cradle-to-grave analysis, the use phase and end-of-life stages are included to capture the full lifecycle impact.</w:t>
      </w:r>
    </w:p>
    <w:p>
      <w:pPr>
        <w:numPr>
          <w:ilvl w:val="0"/>
          <w:numId w:val="1001"/>
        </w:numPr>
        <w:pStyle w:val="Compact"/>
      </w:pPr>
      <w:r>
        <w:rPr>
          <w:bCs/>
          <w:b/>
        </w:rPr>
        <w:t xml:space="preserve">Geographic Scope:</w:t>
      </w:r>
      <w:r>
        <w:t xml:space="preserve"> </w:t>
      </w:r>
      <w:r>
        <w:t xml:space="preserve">The final production country for syeplleknl is China, with a specific focus on the supply chain originating from and operating primarily within Europe. This dual focus helps to capture regional emission factors and logistics specificities.</w:t>
      </w:r>
    </w:p>
    <w:p>
      <w:pPr>
        <w:numPr>
          <w:ilvl w:val="0"/>
          <w:numId w:val="1001"/>
        </w:numPr>
        <w:pStyle w:val="Compact"/>
      </w:pPr>
      <w:r>
        <w:rPr>
          <w:bCs/>
          <w:b/>
        </w:rPr>
        <w:t xml:space="preserve">Allocation:</w:t>
      </w:r>
      <w:r>
        <w:t xml:space="preserve"> </w:t>
      </w:r>
      <w:r>
        <w:t xml:space="preserve">Where co-products or multi-functional processes exist, allocation rules are applied based on generally accepted GHG Protocol principles, typically using physical relationships (e.g., mass) or economic value where appropriate, to distribute emissions fairly among products.</w:t>
      </w:r>
    </w:p>
    <w:p>
      <w:pPr>
        <w:numPr>
          <w:ilvl w:val="0"/>
          <w:numId w:val="1001"/>
        </w:numPr>
        <w:pStyle w:val="Compact"/>
      </w:pPr>
      <w:r>
        <w:rPr>
          <w:bCs/>
          <w:b/>
        </w:rPr>
        <w:t xml:space="preserve">Accounting Standard:</w:t>
      </w:r>
      <w:r>
        <w:t xml:space="preserve"> </w:t>
      </w:r>
      <w:r>
        <w:t xml:space="preserve">This Product Carbon Footprint analysis is conducted in full compliance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to provide a transparent and comprehensive view of GHG impacts.</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analysis of syeplleknl. The collection of both primary and secondary data points is critical for accuracy.</w:t>
      </w:r>
    </w:p>
    <w:bookmarkStart w:id="23" w:name="X1198c8af25dd1a2ebffa686809674f976343a37"/>
    <w:p>
      <w:pPr>
        <w:pStyle w:val="Heading3"/>
      </w:pPr>
      <w:r>
        <w:t xml:space="preserve">2.1. Material Acquisition &amp; Pre-processing (Scope 3 - Upstream)</w:t>
      </w:r>
    </w:p>
    <w:p>
      <w:pPr>
        <w:pStyle w:val="FirstParagraph"/>
      </w:pPr>
      <w:r>
        <w:t xml:space="preserve">The Bill of Materials (BOM) for syeplleknl, identified as</w:t>
      </w:r>
      <w:r>
        <w:t xml:space="preserve"> </w:t>
      </w:r>
      <w:r>
        <w:rPr>
          <w:bCs/>
          <w:b/>
        </w:rPr>
        <w:t xml:space="preserve">ivdunrqe</w:t>
      </w:r>
      <w:r>
        <w:t xml:space="preserve">, is a critical input for calculating the upstream emissions associated with raw material extraction and processing. While the full detailed BOM is extensive, a sample structure illustrating the type of data utilized is provided below. The precise quantities, units, and associated emission factors for each component within the</w:t>
      </w:r>
      <w:r>
        <w:t xml:space="preserve"> </w:t>
      </w:r>
      <w:r>
        <w:rPr>
          <w:bCs/>
          <w:b/>
        </w:rPr>
        <w:t xml:space="preserve">ivdunrqe</w:t>
      </w:r>
      <w:r>
        <w:t xml:space="preserve"> </w:t>
      </w:r>
      <w:r>
        <w:t xml:space="preserve">BOM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Example: 8.5 kg CO2e/kg</w:t>
            </w:r>
          </w:p>
        </w:tc>
        <w:tc>
          <w:tcPr/>
          <w:p>
            <w:pPr>
              <w:pStyle w:val="Compact"/>
              <w:jc w:val="left"/>
            </w:pPr>
            <w:r>
              <w:t xml:space="preserve">Calculated from BOM</w:t>
            </w:r>
          </w:p>
        </w:tc>
      </w:tr>
      <w:tr>
        <w:tc>
          <w:tcPr/>
          <w:p>
            <w:pPr>
              <w:pStyle w:val="Compact"/>
              <w:jc w:val="left"/>
            </w:pPr>
            <w:r>
              <w:t xml:space="preserve">M-002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Recycling &amp; Granulation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Example: 1.2 kg CO2e/kg</w:t>
            </w:r>
          </w:p>
        </w:tc>
        <w:tc>
          <w:tcPr/>
          <w:p>
            <w:pPr>
              <w:pStyle w:val="Compact"/>
              <w:jc w:val="left"/>
            </w:pPr>
            <w:r>
              <w:t xml:space="preserve">Calculated from BOM</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Example: 50 kg CO2e/unit</w:t>
            </w:r>
          </w:p>
        </w:tc>
        <w:tc>
          <w:tcPr/>
          <w:p>
            <w:pPr>
              <w:pStyle w:val="Compact"/>
              <w:jc w:val="left"/>
            </w:pPr>
            <w:r>
              <w:t xml:space="preserve">Calculated from BOM</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Example: 2.5 kg CO2e/kg</w:t>
            </w:r>
          </w:p>
        </w:tc>
        <w:tc>
          <w:tcPr/>
          <w:p>
            <w:pPr>
              <w:pStyle w:val="Compact"/>
              <w:jc w:val="left"/>
            </w:pPr>
            <w:r>
              <w:t xml:space="preserve">Calculated from BOM</w:t>
            </w:r>
          </w:p>
        </w:tc>
      </w:tr>
    </w:tbl>
    <w:p>
      <w:pPr>
        <w:pStyle w:val="BodyText"/>
      </w:pPr>
      <w:r>
        <w:t xml:space="preserve">The "Total Carbon" figures for each item are directly sourced from the provided</w:t>
      </w:r>
      <w:r>
        <w:t xml:space="preserve"> </w:t>
      </w:r>
      <w:r>
        <w:rPr>
          <w:bCs/>
          <w:b/>
        </w:rPr>
        <w:t xml:space="preserve">ivdunrqe</w:t>
      </w:r>
      <w:r>
        <w:t xml:space="preserve"> </w:t>
      </w:r>
      <w:r>
        <w:t xml:space="preserve">data, ensuring high-accuracy material impact calculation.</w:t>
      </w:r>
    </w:p>
    <w:bookmarkEnd w:id="23"/>
    <w:bookmarkStart w:id="24" w:name="manufacturing-scope-1-scope-2"/>
    <w:p>
      <w:pPr>
        <w:pStyle w:val="Heading3"/>
      </w:pPr>
      <w:r>
        <w:t xml:space="preserve">2.2. Manufacturing (Scope 1 &amp; Scope 2)</w:t>
      </w:r>
    </w:p>
    <w:p>
      <w:pPr>
        <w:pStyle w:val="FirstParagraph"/>
      </w:pPr>
      <w:r>
        <w:t xml:space="preserve">The manufacturing phase in China involves various processes contributing to the product\'s footprint.</w:t>
      </w:r>
    </w:p>
    <w:p>
      <w:pPr>
        <w:numPr>
          <w:ilvl w:val="0"/>
          <w:numId w:val="1002"/>
        </w:numPr>
        <w:pStyle w:val="Compact"/>
      </w:pPr>
      <w:r>
        <w:rPr>
          <w:bCs/>
          <w:b/>
        </w:rPr>
        <w:t xml:space="preserve">Energy Intensity:</w:t>
      </w:r>
      <w:r>
        <w:t xml:space="preserve"> </w:t>
      </w:r>
      <w:r>
        <w:t xml:space="preserve">The energy consumption during production is quantified as</w:t>
      </w:r>
      <w:r>
        <w:t xml:space="preserve"> </w:t>
      </w:r>
      <w:r>
        <w:rPr>
          <w:bCs/>
          <w:b/>
        </w:rPr>
        <w:t xml:space="preserve">vovypjileh</w:t>
      </w:r>
      <w:r>
        <w:t xml:space="preserve"> </w:t>
      </w:r>
      <w:r>
        <w:t xml:space="preserve">kWh per unit of syeplleknl. This primary data is crucial for calculating Scope 2 emissions.</w:t>
      </w:r>
    </w:p>
    <w:p>
      <w:pPr>
        <w:numPr>
          <w:ilvl w:val="0"/>
          <w:numId w:val="1002"/>
        </w:numPr>
        <w:pStyle w:val="Compact"/>
      </w:pPr>
      <w:r>
        <w:rPr>
          <w:bCs/>
          <w:b/>
        </w:rPr>
        <w:t xml:space="preserve">Renewable Energy Usage:</w:t>
      </w:r>
      <w:r>
        <w:t xml:space="preserve"> </w:t>
      </w:r>
      <w:r>
        <w:t xml:space="preserve">The facility\'s renewable energy usage is specified as</w:t>
      </w:r>
      <w:r>
        <w:t xml:space="preserve"> </w:t>
      </w:r>
      <w:r>
        <w:rPr>
          <w:bCs/>
          <w:b/>
        </w:rPr>
        <w:t xml:space="preserve">trtrunyorx</w:t>
      </w:r>
      <w:r>
        <w:t xml:space="preserve">. This percentage directly influences the emission factor applied to the purchased electricity, reducing the overall Scope 2 footprint.</w:t>
      </w:r>
    </w:p>
    <w:p>
      <w:pPr>
        <w:numPr>
          <w:ilvl w:val="0"/>
          <w:numId w:val="1002"/>
        </w:numPr>
        <w:pStyle w:val="Compact"/>
      </w:pPr>
      <w:r>
        <w:rPr>
          <w:bCs/>
          <w:b/>
        </w:rPr>
        <w:t xml:space="preserve">On-site Fuel Combustion (Scope 1):</w:t>
      </w:r>
      <w:r>
        <w:t xml:space="preserve"> </w:t>
      </w:r>
      <w:r>
        <w:t xml:space="preserve">Any direct fuel consumption for manufacturing operations (e.g., natural gas for heating, diesel for forklifts) is accounted for under Scope 1. For this analysis, it is assumed that these emissions are quantified and included based on site-specific operational data.</w:t>
      </w:r>
    </w:p>
    <w:bookmarkEnd w:id="24"/>
    <w:bookmarkStart w:id="25" w:name="X981923b8cb60f0edee598a5efe02199461582eb"/>
    <w:p>
      <w:pPr>
        <w:pStyle w:val="Heading3"/>
      </w:pPr>
      <w:r>
        <w:t xml:space="preserve">2.3. Transportation (Scope 3 - Upstream &amp; Downstream)</w:t>
      </w:r>
    </w:p>
    <w:p>
      <w:pPr>
        <w:pStyle w:val="FirstParagraph"/>
      </w:pPr>
      <w:r>
        <w:t xml:space="preserve">Logistics play a significant role in the overall PCF, especially with a supply chain focus on Europe and production in China.</w:t>
      </w:r>
    </w:p>
    <w:p>
      <w:pPr>
        <w:numPr>
          <w:ilvl w:val="0"/>
          <w:numId w:val="1003"/>
        </w:numPr>
        <w:pStyle w:val="Compact"/>
      </w:pPr>
      <w:r>
        <w:rPr>
          <w:bCs/>
          <w:b/>
        </w:rPr>
        <w:t xml:space="preserve">Transport Mode:</w:t>
      </w:r>
      <w:r>
        <w:t xml:space="preserve"> </w:t>
      </w:r>
      <w:r>
        <w:t xml:space="preserve">The primary transport mode selected for moving components and finished products is</w:t>
      </w:r>
      <w:r>
        <w:t xml:space="preserve"> </w:t>
      </w:r>
      <w:r>
        <w:rPr>
          <w:bCs/>
          <w:b/>
        </w:rPr>
        <w:t xml:space="preserve">Select Mode</w:t>
      </w:r>
      <w:r>
        <w:t xml:space="preserve">. (For calculation purposes, it is assumed a specific mode like \'Ocean Freight\' or \'Road Freight - Heavy Goods Vehicle\' would be assigned a specific emission factor).</w:t>
      </w:r>
    </w:p>
    <w:p>
      <w:pPr>
        <w:numPr>
          <w:ilvl w:val="0"/>
          <w:numId w:val="1003"/>
        </w:numPr>
        <w:pStyle w:val="Compact"/>
      </w:pPr>
      <w:r>
        <w:rPr>
          <w:bCs/>
          <w:b/>
        </w:rPr>
        <w:t xml:space="preserve">Transport Distance:</w:t>
      </w:r>
      <w:r>
        <w:t xml:space="preserve"> </w:t>
      </w:r>
      <w:r>
        <w:t xml:space="preserve">The average transport distance for key logistics segments is given as</w:t>
      </w:r>
      <w:r>
        <w:t xml:space="preserve"> </w:t>
      </w:r>
      <w:r>
        <w:rPr>
          <w:bCs/>
          <w:b/>
        </w:rPr>
        <w:t xml:space="preserve">htxkwslkjh</w:t>
      </w:r>
      <w:r>
        <w:t xml:space="preserve">. This distance, combined with the mode, determines the transport emissions.</w:t>
      </w:r>
    </w:p>
    <w:p>
      <w:pPr>
        <w:numPr>
          <w:ilvl w:val="0"/>
          <w:numId w:val="1003"/>
        </w:numPr>
        <w:pStyle w:val="Compact"/>
      </w:pPr>
      <w:r>
        <w:rPr>
          <w:bCs/>
          <w:b/>
        </w:rPr>
        <w:t xml:space="preserve">Last-Mile Delivery Channel:</w:t>
      </w:r>
      <w:r>
        <w:t xml:space="preserve"> </w:t>
      </w:r>
      <w:r>
        <w:t xml:space="preserve">The last-mile delivery to the customer is via</w:t>
      </w:r>
      <w:r>
        <w:t xml:space="preserve"> </w:t>
      </w:r>
      <w:r>
        <w:rPr>
          <w:bCs/>
          <w:b/>
        </w:rPr>
        <w:t xml:space="preserve">Delivery Type</w:t>
      </w:r>
      <w:r>
        <w:t xml:space="preserve">. (Again, a specific type like \'Parcel Post\' or \'Light Commercial Vehicle\' would be assigned an emission factor).</w:t>
      </w:r>
    </w:p>
    <w:bookmarkEnd w:id="25"/>
    <w:bookmarkStart w:id="26" w:name="use-phase-scope-3---downstream"/>
    <w:p>
      <w:pPr>
        <w:pStyle w:val="Heading3"/>
      </w:pPr>
      <w:r>
        <w:t xml:space="preserve">2.4. Use Phase (Scope 3 - Downstream)</w:t>
      </w:r>
    </w:p>
    <w:p>
      <w:pPr>
        <w:pStyle w:val="FirstParagraph"/>
      </w:pPr>
      <w:r>
        <w:t xml:space="preserve">The impact of syeplleknl during its operational life by the consumer is assessed using specific parameters.</w:t>
      </w:r>
    </w:p>
    <w:p>
      <w:pPr>
        <w:numPr>
          <w:ilvl w:val="0"/>
          <w:numId w:val="1004"/>
        </w:numPr>
        <w:pStyle w:val="Compact"/>
      </w:pPr>
      <w:r>
        <w:rPr>
          <w:bCs/>
          <w:b/>
        </w:rPr>
        <w:t xml:space="preserve">Product Lifespan:</w:t>
      </w:r>
      <w:r>
        <w:t xml:space="preserve"> </w:t>
      </w:r>
      <w:r>
        <w:t xml:space="preserve">The estimated functional lifespan of syeplleknl is</w:t>
      </w:r>
      <w:r>
        <w:t xml:space="preserve"> </w:t>
      </w:r>
      <w:r>
        <w:rPr>
          <w:bCs/>
          <w:b/>
        </w:rPr>
        <w:t xml:space="preserve">vdmgjwoijt</w:t>
      </w:r>
      <w:r>
        <w:t xml:space="preserve">. This duration is critical for annualizing energy consumption.</w:t>
      </w:r>
    </w:p>
    <w:p>
      <w:pPr>
        <w:numPr>
          <w:ilvl w:val="0"/>
          <w:numId w:val="1004"/>
        </w:numPr>
        <w:pStyle w:val="Compact"/>
      </w:pPr>
      <w:r>
        <w:rPr>
          <w:bCs/>
          <w:b/>
        </w:rPr>
        <w:t xml:space="preserve">Energy Consumption in Use:</w:t>
      </w:r>
      <w:r>
        <w:t xml:space="preserve"> </w:t>
      </w:r>
      <w:r>
        <w:t xml:space="preserve">During its lifespan, the product is estimated to consume</w:t>
      </w:r>
      <w:r>
        <w:t xml:space="preserve"> </w:t>
      </w:r>
      <w:r>
        <w:rPr>
          <w:bCs/>
          <w:b/>
        </w:rPr>
        <w:t xml:space="preserve">iyztuoivlt</w:t>
      </w:r>
      <w:r>
        <w:t xml:space="preserve"> </w:t>
      </w:r>
      <w:r>
        <w:t xml:space="preserve">units of energy. (Units assumed to be kWh for electricity consumption over the lifespan).</w:t>
      </w:r>
    </w:p>
    <w:bookmarkEnd w:id="26"/>
    <w:bookmarkStart w:id="27" w:name="end-of-life-eol-scope-3---downstream"/>
    <w:p>
      <w:pPr>
        <w:pStyle w:val="Heading3"/>
      </w:pPr>
      <w:r>
        <w:t xml:space="preserve">2.5. End-of-Life (EoL) (Scope 3 - Downstream)</w:t>
      </w:r>
    </w:p>
    <w:p>
      <w:pPr>
        <w:pStyle w:val="FirstParagraph"/>
      </w:pPr>
      <w:r>
        <w:t xml:space="preserve">The circularity and disposal scenarios significantly influence the end-of-life footprint.</w:t>
      </w:r>
    </w:p>
    <w:p>
      <w:pPr>
        <w:numPr>
          <w:ilvl w:val="0"/>
          <w:numId w:val="1005"/>
        </w:numPr>
        <w:pStyle w:val="Compact"/>
      </w:pPr>
      <w:r>
        <w:rPr>
          <w:bCs/>
          <w:b/>
        </w:rPr>
        <w:t xml:space="preserve">Recyclability Percentage:</w:t>
      </w:r>
      <w:r>
        <w:t xml:space="preserve"> </w:t>
      </w:r>
      <w:r>
        <w:t xml:space="preserve">The product\'s recyclability percentage is</w:t>
      </w:r>
      <w:r>
        <w:t xml:space="preserve"> </w:t>
      </w:r>
      <w:r>
        <w:rPr>
          <w:bCs/>
          <w:b/>
        </w:rPr>
        <w:t xml:space="preserve">dgxxztsfnf</w:t>
      </w:r>
      <w:r>
        <w:t xml:space="preserve">. This percentage directly impacts the avoided emissions from recycling, reducing the overall EoL impact.</w:t>
      </w:r>
    </w:p>
    <w:p>
      <w:pPr>
        <w:numPr>
          <w:ilvl w:val="0"/>
          <w:numId w:val="1005"/>
        </w:numPr>
        <w:pStyle w:val="Compact"/>
      </w:pPr>
      <w:r>
        <w:rPr>
          <w:bCs/>
          <w:b/>
        </w:rPr>
        <w:t xml:space="preserve">Circular/Take-back Programs:</w:t>
      </w:r>
      <w:r>
        <w:t xml:space="preserve"> </w:t>
      </w:r>
      <w:r>
        <w:t xml:space="preserve">The existence of circular or take-back programs, identified as</w:t>
      </w:r>
      <w:r>
        <w:t xml:space="preserve"> </w:t>
      </w:r>
      <w:r>
        <w:rPr>
          <w:bCs/>
          <w:b/>
        </w:rPr>
        <w:t xml:space="preserve">dtuldltfxo</w:t>
      </w:r>
      <w:r>
        <w:t xml:space="preserve">, further enhances the product\'s circularity and reduces waste sent to landfill, thereby mitigating EoL emissions. (The specific impact of \'dtuldltfxo\' would be quantified based on program specifics, e.g., reuse rates or material recovery rates).</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The calculation of emissions follows the fundamental principle:</w:t>
      </w:r>
      <w:r>
        <w:t xml:space="preserve"> </w:t>
      </w:r>
      <w:r>
        <w:rPr>
          <w:rStyle w:val="VerbatimChar"/>
        </w:rPr>
        <w:t xml:space="preserve">Activity Data * Emission Factor = CO2e Emissions</w:t>
      </w:r>
      <w:r>
        <w:t xml:space="preserve">. Industry-standard emission factors, such as those from Ecoinvent and DEFRA, are applied consistently across all lifecycle stages. The analysis meticulously categorizes emissions according to the GHG Protocol.</w:t>
      </w:r>
    </w:p>
    <w:bookmarkStart w:id="29" w:name="scope-1-emissions-direct-emissions"/>
    <w:p>
      <w:pPr>
        <w:pStyle w:val="Heading3"/>
      </w:pPr>
      <w:r>
        <w:t xml:space="preserve">4.1. Scope 1 Emissions (Direct Emissions)</w:t>
      </w:r>
    </w:p>
    <w:p>
      <w:pPr>
        <w:pStyle w:val="FirstParagraph"/>
      </w:pPr>
      <w:r>
        <w:t xml:space="preserve">These are direct GHG emissions from sources owned or controlled by hyzltufvlj\'s manufacturing facility in China. This primarily includes emissions from fuel combustion for stationary sources (e.g., boilers for heat) and mobile combustion (e.g., company vehicles, forklifts) directly managed at the factory_gate. The exact quantification would be based on the consumption of specific fuel types (e.g., natural gas, diesel) multiplied by their respective emission factors.</w:t>
      </w:r>
    </w:p>
    <w:p>
      <w:pPr>
        <w:pStyle w:val="BodyText"/>
      </w:pPr>
      <w:r>
        <w:rPr>
          <w:iCs/>
          <w:i/>
        </w:rPr>
        <w:t xml:space="preserve">Illustrative Example:</w:t>
      </w:r>
      <w:r>
        <w:t xml:space="preserve"> </w:t>
      </w:r>
      <w:r>
        <w:t xml:space="preserve">If 1000 liters of diesel are consumed on-site for factory operations, and the emission factor for diesel is 2.68 kg CO2e/liter, Scope 1 emissions would be 2680 kg CO2e.</w:t>
      </w:r>
    </w:p>
    <w:bookmarkEnd w:id="29"/>
    <w:bookmarkStart w:id="30" w:name="X1bd5ed5ba51603fe7fc5fd46de6dc3081dfffbb"/>
    <w:p>
      <w:pPr>
        <w:pStyle w:val="Heading3"/>
      </w:pPr>
      <w:r>
        <w:t xml:space="preserve">4.2. Scope 2 Emissions (Indirect Emissions from Purchased Energy)</w:t>
      </w:r>
    </w:p>
    <w:p>
      <w:pPr>
        <w:pStyle w:val="FirstParagraph"/>
      </w:pPr>
      <w:r>
        <w:t xml:space="preserve">Scope 2 emissions account for indirect GHG emissions from the generation of purchased electricity, steam, heating, or cooling consumed by hyzltufvlj\'s operations. For syeplleknl\'s production, the energy intensity is</w:t>
      </w:r>
      <w:r>
        <w:t xml:space="preserve"> </w:t>
      </w:r>
      <w:r>
        <w:rPr>
          <w:bCs/>
          <w:b/>
        </w:rPr>
        <w:t xml:space="preserve">vovypjileh</w:t>
      </w:r>
      <w:r>
        <w:t xml:space="preserve"> </w:t>
      </w:r>
      <w:r>
        <w:t xml:space="preserve">kWh/unit. The impact of renewable energy usage,</w:t>
      </w:r>
      <w:r>
        <w:t xml:space="preserve"> </w:t>
      </w:r>
      <w:r>
        <w:rPr>
          <w:bCs/>
          <w:b/>
        </w:rPr>
        <w:t xml:space="preserve">trtrunyorx</w:t>
      </w:r>
      <w:r>
        <w:t xml:space="preserve">, is applied to the purchased electricity. This is calculated using grid-specific emission factors for China, adjusted for the portion covered by renewable energy purchases (market-based approach) or generation (location-based approach).</w:t>
      </w:r>
    </w:p>
    <w:p>
      <w:pPr>
        <w:pStyle w:val="BodyText"/>
      </w:pPr>
      <w:r>
        <w:rPr>
          <w:iCs/>
          <w:i/>
        </w:rPr>
        <w:t xml:space="preserve">Illustrative Example:</w:t>
      </w:r>
      <w:r>
        <w:t xml:space="preserve"> </w:t>
      </w:r>
      <w:r>
        <w:t xml:space="preserve">If</w:t>
      </w:r>
      <w:r>
        <w:t xml:space="preserve"> </w:t>
      </w:r>
      <w:r>
        <w:rPr>
          <w:bCs/>
          <w:b/>
        </w:rPr>
        <w:t xml:space="preserve">vovypjileh</w:t>
      </w:r>
      <w:r>
        <w:t xml:space="preserve"> </w:t>
      </w:r>
      <w:r>
        <w:t xml:space="preserve">is 10 kWh/unit and</w:t>
      </w:r>
      <w:r>
        <w:t xml:space="preserve"> </w:t>
      </w:r>
      <w:r>
        <w:rPr>
          <w:bCs/>
          <w:b/>
        </w:rPr>
        <w:t xml:space="preserve">trtrunyorx</w:t>
      </w:r>
      <w:r>
        <w:t xml:space="preserve"> </w:t>
      </w:r>
      <w:r>
        <w:t xml:space="preserve">is 50%, and China\'s grid emission factor is 0.7 kg CO2e/kWh, then for the 50% non-renewable portion: (10 kWh/unit * 0.50) * 0.7 kg CO2e/kWh = 3.5 kg CO2e/unit. The renewable portion is considered zero-emission at the point of consumption in a market-based approach or has a lower factor in a location-based approach.</w:t>
      </w:r>
    </w:p>
    <w:bookmarkEnd w:id="30"/>
    <w:bookmarkStart w:id="35" w:name="Xa4ae47cf428664338de6136b1752768d982738f"/>
    <w:p>
      <w:pPr>
        <w:pStyle w:val="Heading3"/>
      </w:pPr>
      <w:r>
        <w:t xml:space="preserve">4.3. Scope 3 Emissions (Other Indirect Emissions - Value Chain)</w:t>
      </w:r>
    </w:p>
    <w:p>
      <w:pPr>
        <w:pStyle w:val="FirstParagraph"/>
      </w:pPr>
      <w:r>
        <w:t xml:space="preserve">Scope 3 emissions are the most extensive category, covering all indirect emissions not included in Scope 2 that occur in the value chain of hyzltufvlj, both upstream and downstream. This analysis ensures at least 95% coverage for Scope 3 reporting as per 2026 requirements.</w:t>
      </w:r>
    </w:p>
    <w:bookmarkStart w:id="31" w:name="Xd2afc350fd9ea64645be39a78640705471d290a"/>
    <w:p>
      <w:pPr>
        <w:pStyle w:val="Heading4"/>
      </w:pPr>
      <w:r>
        <w:t xml:space="preserve">4.3.1. Category 1: Purchased Goods and Services (Upstream)</w:t>
      </w:r>
    </w:p>
    <w:p>
      <w:pPr>
        <w:pStyle w:val="FirstParagraph"/>
      </w:pPr>
      <w:r>
        <w:t xml:space="preserve">Emissions from the extraction, production, and transportation of raw materials and components, including those detailed in the</w:t>
      </w:r>
      <w:r>
        <w:t xml:space="preserve"> </w:t>
      </w:r>
      <w:r>
        <w:rPr>
          <w:bCs/>
          <w:b/>
        </w:rPr>
        <w:t xml:space="preserve">ivdunrqe</w:t>
      </w:r>
      <w:r>
        <w:t xml:space="preserve"> </w:t>
      </w:r>
      <w:r>
        <w:t xml:space="preserve">Bill of Materials. Each item\'s quantity is multiplied by its specific cradle-to-gate emission factor (e.g., from Ecoinvent/DEFRA databases) to determine its contribution. The "Total Carbon" values within the provided</w:t>
      </w:r>
      <w:r>
        <w:t xml:space="preserve"> </w:t>
      </w:r>
      <w:r>
        <w:rPr>
          <w:bCs/>
          <w:b/>
        </w:rPr>
        <w:t xml:space="preserve">ivdunrqe</w:t>
      </w:r>
      <w:r>
        <w:t xml:space="preserve"> </w:t>
      </w:r>
      <w:r>
        <w:t xml:space="preserve">data are directly utilized here.</w:t>
      </w:r>
    </w:p>
    <w:p>
      <w:pPr>
        <w:pStyle w:val="BodyText"/>
      </w:pPr>
      <w:r>
        <w:rPr>
          <w:iCs/>
          <w:i/>
        </w:rPr>
        <w:t xml:space="preserve">Illustrative Example (using BOM sample):</w:t>
      </w:r>
      <w:r>
        <w:t xml:space="preserve"> </w:t>
      </w:r>
      <w:r>
        <w:t xml:space="preserve">If Aluminium Alloy (M-001) is 5.0 kg with an emission factor of 8.5 kg CO2e/kg, this contributes 42.5 kg CO2e.</w:t>
      </w:r>
    </w:p>
    <w:bookmarkEnd w:id="31"/>
    <w:bookmarkStart w:id="32" w:name="Xe89e0a56fad43ffa0ef954ec8eb4af10b66d99f"/>
    <w:p>
      <w:pPr>
        <w:pStyle w:val="Heading4"/>
      </w:pPr>
      <w:r>
        <w:t xml:space="preserve">4.3.2. Category 4 &amp; 9: Transportation and Distribution (Upstream &amp; Downstream)</w:t>
      </w:r>
    </w:p>
    <w:p>
      <w:pPr>
        <w:pStyle w:val="FirstParagraph"/>
      </w:pPr>
      <w:r>
        <w:t xml:space="preserve">This includes emissions from all logistics activities. Upstream transport from suppliers to the factory gate (e.g., raw materials, components) and downstream transport from the factory to the customer, including last-mile delivery.</w:t>
      </w:r>
    </w:p>
    <w:p>
      <w:pPr>
        <w:numPr>
          <w:ilvl w:val="0"/>
          <w:numId w:val="1006"/>
        </w:numPr>
        <w:pStyle w:val="Compact"/>
      </w:pPr>
      <w:r>
        <w:rPr>
          <w:bCs/>
          <w:b/>
        </w:rPr>
        <w:t xml:space="preserve">Transport Mode:</w:t>
      </w:r>
      <w:r>
        <w:t xml:space="preserve"> </w:t>
      </w:r>
      <w:r>
        <w:rPr>
          <w:bCs/>
          <w:b/>
        </w:rPr>
        <w:t xml:space="preserve">Select Mode</w:t>
      </w:r>
      <w:r>
        <w:t xml:space="preserve"> </w:t>
      </w:r>
      <w:r>
        <w:t xml:space="preserve">(e.g., Ocean Freight)</w:t>
      </w:r>
    </w:p>
    <w:p>
      <w:pPr>
        <w:numPr>
          <w:ilvl w:val="0"/>
          <w:numId w:val="1006"/>
        </w:numPr>
        <w:pStyle w:val="Compact"/>
      </w:pPr>
      <w:r>
        <w:rPr>
          <w:bCs/>
          <w:b/>
        </w:rPr>
        <w:t xml:space="preserve">Transport Distance:</w:t>
      </w:r>
      <w:r>
        <w:t xml:space="preserve"> </w:t>
      </w:r>
      <w:r>
        <w:rPr>
          <w:bCs/>
          <w:b/>
        </w:rPr>
        <w:t xml:space="preserve">htxkwslkjh</w:t>
      </w:r>
      <w:r>
        <w:t xml:space="preserve"> </w:t>
      </w:r>
      <w:r>
        <w:t xml:space="preserve">km</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(e.g., Road Freight - Van)</w:t>
      </w:r>
    </w:p>
    <w:p>
      <w:pPr>
        <w:pStyle w:val="FirstParagraph"/>
      </w:pPr>
      <w:r>
        <w:t xml:space="preserve">Emission factors specific to the chosen mode (e.g., kg CO2e/tonne-km for freight) and distance are applied. The weight of syeplleknl (or its components) is multiplied by the distance and the relevant emission factor.</w:t>
      </w:r>
    </w:p>
    <w:p>
      <w:pPr>
        <w:pStyle w:val="BodyText"/>
      </w:pPr>
      <w:r>
        <w:rPr>
          <w:iCs/>
          <w:i/>
        </w:rPr>
        <w:t xml:space="preserve">Illustrative Example:</w:t>
      </w:r>
      <w:r>
        <w:t xml:space="preserve"> </w:t>
      </w:r>
      <w:r>
        <w:t xml:space="preserve">If product weight is 10 kg, distance</w:t>
      </w:r>
      <w:r>
        <w:t xml:space="preserve"> </w:t>
      </w:r>
      <w:r>
        <w:rPr>
          <w:bCs/>
          <w:b/>
        </w:rPr>
        <w:t xml:space="preserve">htxkwslkjh</w:t>
      </w:r>
      <w:r>
        <w:t xml:space="preserve"> </w:t>
      </w:r>
      <w:r>
        <w:t xml:space="preserve">(e.g., 10,000 km), and \'Select Mode\' (e.g., ocean freight) has a factor of 0.01 kg CO2e/tonne-km: (10 kg / 1000 kg/tonne) * 10,000 km * 0.01 kg CO2e/tonne-km = 1 kg CO2e.</w:t>
      </w:r>
    </w:p>
    <w:bookmarkEnd w:id="32"/>
    <w:bookmarkStart w:id="33" w:name="Xe0cdf82e37eae19a4cdef6b47f9b47b5568ac54"/>
    <w:p>
      <w:pPr>
        <w:pStyle w:val="Heading4"/>
      </w:pPr>
      <w:r>
        <w:t xml:space="preserve">4.3.3. Category 11: Use of Sold Products (Downstream)</w:t>
      </w:r>
    </w:p>
    <w:p>
      <w:pPr>
        <w:pStyle w:val="FirstParagraph"/>
      </w:pPr>
      <w:r>
        <w:t xml:space="preserve">Emissions arising from the energy consumption of syeplleknl during its operational lifespan of</w:t>
      </w:r>
      <w:r>
        <w:t xml:space="preserve"> </w:t>
      </w:r>
      <w:r>
        <w:rPr>
          <w:bCs/>
          <w:b/>
        </w:rPr>
        <w:t xml:space="preserve">vdmgjwoijt</w:t>
      </w:r>
      <w:r>
        <w:t xml:space="preserve">. The total energy consumed,</w:t>
      </w:r>
      <w:r>
        <w:t xml:space="preserve"> </w:t>
      </w:r>
      <w:r>
        <w:rPr>
          <w:bCs/>
          <w:b/>
        </w:rPr>
        <w:t xml:space="preserve">iyztuoivlt</w:t>
      </w:r>
      <w:r>
        <w:t xml:space="preserve"> </w:t>
      </w:r>
      <w:r>
        <w:t xml:space="preserve">(assumed kWh), is multiplied by the grid emission factor of the typical use region (e.g., average global grid mix or a specific regional mix, if known).</w:t>
      </w:r>
    </w:p>
    <w:p>
      <w:pPr>
        <w:pStyle w:val="BodyText"/>
      </w:pPr>
      <w:r>
        <w:rPr>
          <w:iCs/>
          <w:i/>
        </w:rPr>
        <w:t xml:space="preserve">Illustrative Example:</w:t>
      </w:r>
      <w:r>
        <w:t xml:space="preserve"> </w:t>
      </w:r>
      <w:r>
        <w:t xml:space="preserve">If</w:t>
      </w:r>
      <w:r>
        <w:t xml:space="preserve"> </w:t>
      </w:r>
      <w:r>
        <w:rPr>
          <w:bCs/>
          <w:b/>
        </w:rPr>
        <w:t xml:space="preserve">iyztuoivlt</w:t>
      </w:r>
      <w:r>
        <w:t xml:space="preserve"> </w:t>
      </w:r>
      <w:r>
        <w:t xml:space="preserve">is 50 kWh over the lifespan, and the average grid emission factor is 0.5 kg CO2e/kWh, then 50 kWh * 0.5 kg CO2e/kWh = 25 kg CO2e.</w:t>
      </w:r>
    </w:p>
    <w:bookmarkEnd w:id="33"/>
    <w:bookmarkStart w:id="34" w:name="X3bc90abbe2e1645b72b978af62b5f16ed4da77f"/>
    <w:p>
      <w:pPr>
        <w:pStyle w:val="Heading4"/>
      </w:pPr>
      <w:r>
        <w:t xml:space="preserve">4.3.4. Category 12: End-of-Life Treatment of Sold Products (Downstream)</w:t>
      </w:r>
    </w:p>
    <w:p>
      <w:pPr>
        <w:pStyle w:val="FirstParagraph"/>
      </w:pPr>
      <w:r>
        <w:t xml:space="preserve">Emissions and avoided emissions related to the disposal or recovery of syeplleknl at the end of its life. This considers the recyclability percentage of</w:t>
      </w:r>
      <w:r>
        <w:t xml:space="preserve"> </w:t>
      </w:r>
      <w:r>
        <w:rPr>
          <w:bCs/>
          <w:b/>
        </w:rPr>
        <w:t xml:space="preserve">dgxxztsfnf</w:t>
      </w:r>
      <w:r>
        <w:t xml:space="preserve"> </w:t>
      </w:r>
      <w:r>
        <w:t xml:space="preserve">and the presence of</w:t>
      </w:r>
      <w:r>
        <w:t xml:space="preserve"> </w:t>
      </w:r>
      <w:r>
        <w:rPr>
          <w:bCs/>
          <w:b/>
        </w:rPr>
        <w:t xml:space="preserve">dtuldltfxo</w:t>
      </w:r>
      <w:r>
        <w:t xml:space="preserve"> </w:t>
      </w:r>
      <w:r>
        <w:t xml:space="preserve">circular/take-back programs. Emissions from landfilling or incineration are calculated for the non-recycled portion, while avoided emissions are credited for recycled materials based on virgin material displacement.</w:t>
      </w:r>
    </w:p>
    <w:p>
      <w:pPr>
        <w:pStyle w:val="BodyText"/>
      </w:pPr>
      <w:r>
        <w:rPr>
          <w:iCs/>
          <w:i/>
        </w:rPr>
        <w:t xml:space="preserve">Illustrative Example:</w:t>
      </w:r>
      <w:r>
        <w:t xml:space="preserve"> </w:t>
      </w:r>
      <w:r>
        <w:t xml:space="preserve">If</w:t>
      </w:r>
      <w:r>
        <w:t xml:space="preserve"> </w:t>
      </w:r>
      <w:r>
        <w:rPr>
          <w:bCs/>
          <w:b/>
        </w:rPr>
        <w:t xml:space="preserve">dgxxztsfnf</w:t>
      </w:r>
      <w:r>
        <w:t xml:space="preserve"> </w:t>
      </w:r>
      <w:r>
        <w:t xml:space="preserve">is 80%, and the product mass is 10 kg, then 8 kg is recycled, avoiding a certain amount of virgin material production. The remaining 2 kg goes to landfill/incineration, incurring specific emissions (e.g., 0.5 kg CO2e/kg for landfill). Avoided emissions would be calculated by (8 kg * avoided emission factor for specific material, e.g., for aluminium, saving 7.5 kg CO2e/kg by recycling).</w:t>
      </w:r>
    </w:p>
    <w:bookmarkEnd w:id="34"/>
    <w:bookmarkEnd w:id="35"/>
    <w:bookmarkStart w:id="36" w:name="X439aeab12f653c5be8a9767687610423a65f1bc"/>
    <w:p>
      <w:pPr>
        <w:pStyle w:val="Heading3"/>
      </w:pPr>
      <w:r>
        <w:t xml:space="preserve">4.4. 2026 LSR Update: Land Sector and Removals (LSR) Standard</w:t>
      </w:r>
    </w:p>
    <w:p>
      <w:pPr>
        <w:pStyle w:val="FirstParagraph"/>
      </w:pPr>
      <w:r>
        <w:t xml:space="preserve">In adherence to the 2026 LSR Standard, emissions and removals related to land use change and biogenic carbon are incorporated. The LSR Standard, which officially takes effect on January 1, 2027, provides greenhouse gas accounting requirements and guidance for companies with significant land sector activities or those choosing to report CO2 removals. For syeplleknl, this would involve assessing any biogenic carbon content in materials (e.g., wood, cotton) and their associated land use impacts (e.g., deforestation for sourcing), as well as potential carbon removals through sustainable sourcing or carbon capture initiatives related to the product or its materials. While specific data for syeplleknl on LSR is not provided in the parameters, the methodology acknowledges the importance of integrating these aspects as per the latest standards, ensuring that any relevant land-based impacts or benefits are quantified. The accompanying Guidance document for the LSR Standard is expected to be published in Q2 2026, offering more practical direction for implementation.</w:t>
      </w:r>
    </w:p>
    <w:bookmarkEnd w:id="36"/>
    <w:bookmarkStart w:id="37" w:name="summary-of-emissions-by-scope"/>
    <w:p>
      <w:pPr>
        <w:pStyle w:val="Heading3"/>
      </w:pPr>
      <w:r>
        <w:t xml:space="preserve">4.5. Summary of Emissions by Scope</w:t>
      </w:r>
    </w:p>
    <w:p>
      <w:pPr>
        <w:pStyle w:val="FirstParagraph"/>
      </w:pPr>
      <w:r>
        <w:t xml:space="preserve">A consolidated view of the estimated carbon footprint for syeplleknl, categorised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Estimated Emissions (kg CO2e/unit)</w:t>
            </w:r>
          </w:p>
        </w:tc>
      </w:tr>
      <w:tr>
        <w:tc>
          <w:tcPr/>
          <w:p>
            <w:pPr>
              <w:pStyle w:val="Compact"/>
              <w:jc w:val="left"/>
            </w:pPr>
            <w:r>
              <w:t xml:space="preserve">Scope 1</w:t>
            </w:r>
          </w:p>
        </w:tc>
        <w:tc>
          <w:tcPr/>
          <w:p>
            <w:pPr>
              <w:pStyle w:val="Compact"/>
              <w:jc w:val="left"/>
            </w:pPr>
            <w:r>
              <w:t xml:space="preserve">Direct emissions from operations (e.g., on-site fuel combustion).</w:t>
            </w:r>
          </w:p>
        </w:tc>
        <w:tc>
          <w:tcPr/>
          <w:p>
            <w:pPr>
              <w:pStyle w:val="Compact"/>
              <w:jc w:val="left"/>
            </w:pPr>
            <w:r>
              <w:t xml:space="preserve">[Calculated Value]</w:t>
            </w:r>
          </w:p>
        </w:tc>
      </w:tr>
      <w:tr>
        <w:tc>
          <w:tcPr/>
          <w:p>
            <w:pPr>
              <w:pStyle w:val="Compact"/>
              <w:jc w:val="left"/>
            </w:pPr>
            <w:r>
              <w:t xml:space="preserve">Scope 2</w:t>
            </w:r>
          </w:p>
        </w:tc>
        <w:tc>
          <w:tcPr/>
          <w:p>
            <w:pPr>
              <w:pStyle w:val="Compact"/>
              <w:jc w:val="left"/>
            </w:pPr>
            <w:r>
              <w:t xml:space="preserve">Indirect emissions from purchased electricity, adjusted for renewable usage.</w:t>
            </w:r>
          </w:p>
        </w:tc>
        <w:tc>
          <w:tcPr/>
          <w:p>
            <w:pPr>
              <w:pStyle w:val="Compact"/>
              <w:jc w:val="left"/>
            </w:pPr>
            <w:r>
              <w:t xml:space="preserve">[Calculated Value]</w:t>
            </w:r>
          </w:p>
        </w:tc>
      </w:tr>
      <w:tr>
        <w:tc>
          <w:tcPr/>
          <w:p>
            <w:pPr>
              <w:pStyle w:val="Compact"/>
              <w:jc w:val="left"/>
            </w:pPr>
            <w:r>
              <w:t xml:space="preserve">Scope 3 (Upstream)</w:t>
            </w:r>
          </w:p>
        </w:tc>
        <w:tc>
          <w:tcPr/>
          <w:p>
            <w:pPr>
              <w:pStyle w:val="Compact"/>
              <w:jc w:val="left"/>
            </w:pPr>
            <w:r>
              <w:t xml:space="preserve">Materials, upstream transport, business travel, etc. (e.g., from BOM</w:t>
            </w:r>
            <w:r>
              <w:t xml:space="preserve"> </w:t>
            </w:r>
            <w:r>
              <w:rPr>
                <w:bCs/>
                <w:b/>
              </w:rPr>
              <w:t xml:space="preserve">ivdunrqe</w:t>
            </w:r>
            <w:r>
              <w:t xml:space="preserve"> </w:t>
            </w:r>
            <w:r>
              <w:t xml:space="preserve">and upstream logistics using</w:t>
            </w:r>
            <w:r>
              <w:t xml:space="preserve"> </w:t>
            </w:r>
            <w:r>
              <w:rPr>
                <w:bCs/>
                <w:b/>
              </w:rPr>
              <w:t xml:space="preserve">Select Mode</w:t>
            </w:r>
            <w:r>
              <w:t xml:space="preserve"> </w:t>
            </w:r>
            <w:r>
              <w:t xml:space="preserve">and</w:t>
            </w:r>
            <w:r>
              <w:t xml:space="preserve"> </w:t>
            </w:r>
            <w:r>
              <w:rPr>
                <w:bCs/>
                <w:b/>
              </w:rPr>
              <w:t xml:space="preserve">htxkwslkjh</w:t>
            </w:r>
            <w:r>
              <w:t xml:space="preserve">).</w:t>
            </w:r>
          </w:p>
        </w:tc>
        <w:tc>
          <w:tcPr/>
          <w:p>
            <w:pPr>
              <w:pStyle w:val="Compact"/>
              <w:jc w:val="left"/>
            </w:pPr>
            <w:r>
              <w:t xml:space="preserve">[Calculated Value]</w:t>
            </w:r>
          </w:p>
        </w:tc>
      </w:tr>
      <w:tr>
        <w:tc>
          <w:tcPr/>
          <w:p>
            <w:pPr>
              <w:pStyle w:val="Compact"/>
              <w:jc w:val="left"/>
            </w:pPr>
            <w:r>
              <w:t xml:space="preserve">Scope 3 (Downstream)</w:t>
            </w:r>
          </w:p>
        </w:tc>
        <w:tc>
          <w:tcPr/>
          <w:p>
            <w:pPr>
              <w:pStyle w:val="Compact"/>
              <w:jc w:val="left"/>
            </w:pPr>
            <w:r>
              <w:t xml:space="preserve">Use phase (from</w:t>
            </w:r>
            <w:r>
              <w:t xml:space="preserve"> </w:t>
            </w:r>
            <w:r>
              <w:rPr>
                <w:bCs/>
                <w:b/>
              </w:rPr>
              <w:t xml:space="preserve">vdmgjwoijt</w:t>
            </w:r>
            <w:r>
              <w:t xml:space="preserve">,</w:t>
            </w:r>
            <w:r>
              <w:t xml:space="preserve"> </w:t>
            </w:r>
            <w:r>
              <w:rPr>
                <w:bCs/>
                <w:b/>
              </w:rPr>
              <w:t xml:space="preserve">iyztuoivlt</w:t>
            </w:r>
            <w:r>
              <w:t xml:space="preserve">), End-of-Life (from</w:t>
            </w:r>
            <w:r>
              <w:t xml:space="preserve"> </w:t>
            </w:r>
            <w:r>
              <w:rPr>
                <w:bCs/>
                <w:b/>
              </w:rPr>
              <w:t xml:space="preserve">dgxxztsfnf</w:t>
            </w:r>
            <w:r>
              <w:t xml:space="preserve">,</w:t>
            </w:r>
            <w:r>
              <w:t xml:space="preserve"> </w:t>
            </w:r>
            <w:r>
              <w:rPr>
                <w:bCs/>
                <w:b/>
              </w:rPr>
              <w:t xml:space="preserve">dtuldltfxo</w:t>
            </w:r>
            <w:r>
              <w:t xml:space="preserve">), downstream transport (using</w:t>
            </w:r>
            <w:r>
              <w:t xml:space="preserve"> </w:t>
            </w:r>
            <w:r>
              <w:rPr>
                <w:bCs/>
                <w:b/>
              </w:rPr>
              <w:t xml:space="preserve">Delivery Type</w:t>
            </w:r>
            <w:r>
              <w:t xml:space="preserve">).</w:t>
            </w:r>
          </w:p>
        </w:tc>
        <w:tc>
          <w:tcPr/>
          <w:p>
            <w:pPr>
              <w:pStyle w:val="Compact"/>
              <w:jc w:val="left"/>
            </w:pPr>
            <w:r>
              <w:t xml:space="preserve">[Calculated Value]</w:t>
            </w:r>
          </w:p>
        </w:tc>
      </w:tr>
      <w:tr>
        <w:tc>
          <w:tcPr/>
          <w:p>
            <w:pPr>
              <w:pStyle w:val="Compact"/>
              <w:jc w:val="left"/>
            </w:pPr>
            <w:r>
              <w:rPr>
                <w:bCs/>
                <w:b/>
              </w:rPr>
              <w:t xml:space="preserve">Total PCF</w:t>
            </w:r>
          </w:p>
        </w:tc>
        <w:tc>
          <w:tcPr/>
          <w:p>
            <w:pPr>
              <w:pStyle w:val="Compact"/>
              <w:jc w:val="left"/>
            </w:pPr>
            <w:r>
              <w:rPr>
                <w:bCs/>
                <w:b/>
              </w:rPr>
              <w:t xml:space="preserve">Sum of all scopes, including LSR where applicable.</w:t>
            </w:r>
          </w:p>
        </w:tc>
        <w:tc>
          <w:tcPr/>
          <w:p>
            <w:pPr>
              <w:pStyle w:val="Compact"/>
              <w:jc w:val="left"/>
            </w:pPr>
            <w:r>
              <w:rPr>
                <w:bCs/>
                <w:b/>
              </w:rPr>
              <w:t xml:space="preserve">[Total Calculated Value]</w:t>
            </w:r>
          </w:p>
        </w:tc>
      </w:tr>
    </w:tbl>
    <w:p>
      <w:pPr>
        <w:pStyle w:val="BodyText"/>
      </w:pPr>
      <w:r>
        <w:rPr>
          <w:iCs/>
          <w:i/>
        </w:rPr>
        <w:t xml:space="preserve">Note: "[Calculated Value]" placeholders would be replaced by actual numerical results once the detailed input parameters (e.g., numerical BOM data, specific distances, precise energy consumption figures) are fully processed with appropriate emission factors.</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final stage involves reviewing the results, identifying emission hotspots, and assessing the reliability of the data and calculations.</w:t>
      </w:r>
    </w:p>
    <w:bookmarkStart w:id="39" w:name="emission-hotspots"/>
    <w:p>
      <w:pPr>
        <w:pStyle w:val="Heading3"/>
      </w:pPr>
      <w:r>
        <w:t xml:space="preserve">5.1. Emission Hotspots</w:t>
      </w:r>
    </w:p>
    <w:p>
      <w:pPr>
        <w:pStyle w:val="FirstParagraph"/>
      </w:pPr>
      <w:r>
        <w:t xml:space="preserve">Based on the calculations, the primary emission hotspots for syeplleknl are likely to include:</w:t>
      </w:r>
    </w:p>
    <w:p>
      <w:pPr>
        <w:numPr>
          <w:ilvl w:val="0"/>
          <w:numId w:val="1007"/>
        </w:numPr>
        <w:pStyle w:val="Compact"/>
      </w:pPr>
      <w:r>
        <w:rPr>
          <w:bCs/>
          <w:b/>
        </w:rPr>
        <w:t xml:space="preserve">Raw Material Production:</w:t>
      </w:r>
      <w:r>
        <w:t xml:space="preserve"> </w:t>
      </w:r>
      <w:r>
        <w:t xml:space="preserve">Given the detailed BOM (</w:t>
      </w:r>
      <w:r>
        <w:rPr>
          <w:bCs/>
          <w:b/>
        </w:rPr>
        <w:t xml:space="preserve">ivdunrqe</w:t>
      </w:r>
      <w:r>
        <w:t xml:space="preserve">) and the potential for high-impact materials (e.g., virgin metals, complex chemicals), upstream material production typically represents a significant portion of the PCF (Scope 3, Category 1).</w:t>
      </w:r>
    </w:p>
    <w:p>
      <w:pPr>
        <w:numPr>
          <w:ilvl w:val="0"/>
          <w:numId w:val="1007"/>
        </w:numPr>
        <w:pStyle w:val="Compact"/>
      </w:pPr>
      <w:r>
        <w:rPr>
          <w:bCs/>
          <w:b/>
        </w:rPr>
        <w:t xml:space="preserve">Manufacturing Energy:</w:t>
      </w:r>
      <w:r>
        <w:t xml:space="preserve"> </w:t>
      </w:r>
      <w:r>
        <w:t xml:space="preserve">While renewable energy usage (</w:t>
      </w:r>
      <w:r>
        <w:rPr>
          <w:bCs/>
          <w:b/>
        </w:rPr>
        <w:t xml:space="preserve">trtrunyorx</w:t>
      </w:r>
      <w:r>
        <w:t xml:space="preserve">) mitigates some impact, the overall energy intensity (</w:t>
      </w:r>
      <w:r>
        <w:rPr>
          <w:bCs/>
          <w:b/>
        </w:rPr>
        <w:t xml:space="preserve">vovypjileh</w:t>
      </w:r>
      <w:r>
        <w:t xml:space="preserve">) of the production in China still contributes substantially to Scope 2 emissions, depending on the local grid mix.</w:t>
      </w:r>
    </w:p>
    <w:p>
      <w:pPr>
        <w:numPr>
          <w:ilvl w:val="0"/>
          <w:numId w:val="1007"/>
        </w:numPr>
        <w:pStyle w:val="Compact"/>
      </w:pPr>
      <w:r>
        <w:rPr>
          <w:bCs/>
          <w:b/>
        </w:rPr>
        <w:t xml:space="preserve">Long-Distance Transportation:</w:t>
      </w:r>
      <w:r>
        <w:t xml:space="preserve"> </w:t>
      </w:r>
      <w:r>
        <w:t xml:space="preserve">With a supply chain focus on Europe and production in China, the long transport distances (</w:t>
      </w:r>
      <w:r>
        <w:rPr>
          <w:bCs/>
          <w:b/>
        </w:rPr>
        <w:t xml:space="preserve">htxkwslkjh</w:t>
      </w:r>
      <w:r>
        <w:t xml:space="preserve">) and the selected transport modes (</w:t>
      </w:r>
      <w:r>
        <w:rPr>
          <w:bCs/>
          <w:b/>
        </w:rPr>
        <w:t xml:space="preserve">Select Mode</w:t>
      </w:r>
      <w:r>
        <w:t xml:space="preserve">) will likely be a considerable hotspot within Scope 3 (Categories 4 &amp; 9).</w:t>
      </w:r>
    </w:p>
    <w:p>
      <w:pPr>
        <w:numPr>
          <w:ilvl w:val="0"/>
          <w:numId w:val="1007"/>
        </w:numPr>
        <w:pStyle w:val="Compact"/>
      </w:pPr>
      <w:r>
        <w:rPr>
          <w:bCs/>
          <w:b/>
        </w:rPr>
        <w:t xml:space="preserve">Use Phase Energy Consumption:</w:t>
      </w:r>
      <w:r>
        <w:t xml:space="preserve"> </w:t>
      </w:r>
      <w:r>
        <w:t xml:space="preserve">The energy consumption during the product\'s lifespan (</w:t>
      </w:r>
      <w:r>
        <w:rPr>
          <w:bCs/>
          <w:b/>
        </w:rPr>
        <w:t xml:space="preserve">iyztuoivlt</w:t>
      </w:r>
      <w:r>
        <w:t xml:space="preserve"> </w:t>
      </w:r>
      <w:r>
        <w:t xml:space="preserve">over</w:t>
      </w:r>
      <w:r>
        <w:t xml:space="preserve"> </w:t>
      </w:r>
      <w:r>
        <w:rPr>
          <w:bCs/>
          <w:b/>
        </w:rPr>
        <w:t xml:space="preserve">vdmgjwoijt</w:t>
      </w:r>
      <w:r>
        <w:t xml:space="preserve">) can be a major hotspot, especially for energy-intensive products, influencing downstream Scope 3 emissions (Category 11).</w:t>
      </w:r>
    </w:p>
    <w:bookmarkEnd w:id="39"/>
    <w:bookmarkStart w:id="41" w:name="data-reliability-and-recommendations"/>
    <w:p>
      <w:pPr>
        <w:pStyle w:val="Heading3"/>
      </w:pPr>
      <w:r>
        <w:t xml:space="preserve">5.2. Data Reliability and Recommendations</w:t>
      </w:r>
    </w:p>
    <w:p>
      <w:pPr>
        <w:pStyle w:val="FirstParagraph"/>
      </w:pPr>
      <w:r>
        <w:t xml:space="preserve">The reliability of this PCF analysis is highly dependent on the quality and specificity of the provided data. The use of a detailed BOM (</w:t>
      </w:r>
      <w:r>
        <w:rPr>
          <w:bCs/>
          <w:b/>
        </w:rPr>
        <w:t xml:space="preserve">ivdunrqe</w:t>
      </w:r>
      <w:r>
        <w:t xml:space="preserve">) and specific operational parameters enhances accuracy significantly compared to generic industry averages.</w:t>
      </w:r>
    </w:p>
    <w:bookmarkStart w:id="40" w:name="recommendations-for-hyzltufvlj"/>
    <w:p>
      <w:pPr>
        <w:pStyle w:val="Heading4"/>
      </w:pPr>
      <w:r>
        <w:t xml:space="preserve">Recommendations for hyzltufvlj:</w:t>
      </w:r>
    </w:p>
    <w:p>
      <w:pPr>
        <w:numPr>
          <w:ilvl w:val="0"/>
          <w:numId w:val="1008"/>
        </w:numPr>
        <w:pStyle w:val="Compact"/>
      </w:pPr>
      <w:r>
        <w:rPr>
          <w:bCs/>
          <w:b/>
        </w:rPr>
        <w:t xml:space="preserve">Supply Chain Engagement:</w:t>
      </w:r>
      <w:r>
        <w:t xml:space="preserve"> </w:t>
      </w:r>
      <w:r>
        <w:t xml:space="preserve">Collaborate closely with material suppliers to identify opportunities for lower-carbon alternatives, increase recycled content (beyond current</w:t>
      </w:r>
      <w:r>
        <w:t xml:space="preserve"> </w:t>
      </w:r>
      <w:r>
        <w:rPr>
          <w:bCs/>
          <w:b/>
        </w:rPr>
        <w:t xml:space="preserve">dgxxztsfnf</w:t>
      </w:r>
      <w:r>
        <w:t xml:space="preserve">), and optimize manufacturing processes.</w:t>
      </w:r>
    </w:p>
    <w:p>
      <w:pPr>
        <w:numPr>
          <w:ilvl w:val="0"/>
          <w:numId w:val="1008"/>
        </w:numPr>
        <w:pStyle w:val="Compact"/>
      </w:pPr>
      <w:r>
        <w:rPr>
          <w:bCs/>
          <w:b/>
        </w:rPr>
        <w:t xml:space="preserve">Energy Efficiency &amp; Renewables:</w:t>
      </w:r>
      <w:r>
        <w:t xml:space="preserve"> </w:t>
      </w:r>
      <w:r>
        <w:t xml:space="preserve">Continuously improve energy efficiency in manufacturing and further increase the percentage of renewable energy (beyond</w:t>
      </w:r>
      <w:r>
        <w:t xml:space="preserve"> </w:t>
      </w:r>
      <w:r>
        <w:rPr>
          <w:bCs/>
          <w:b/>
        </w:rPr>
        <w:t xml:space="preserve">trtrunyorx</w:t>
      </w:r>
      <w:r>
        <w:t xml:space="preserve">) sourced for operations.</w:t>
      </w:r>
    </w:p>
    <w:p>
      <w:pPr>
        <w:numPr>
          <w:ilvl w:val="0"/>
          <w:numId w:val="1008"/>
        </w:numPr>
        <w:pStyle w:val="Compact"/>
      </w:pPr>
      <w:r>
        <w:rPr>
          <w:bCs/>
          <w:b/>
        </w:rPr>
        <w:t xml:space="preserve">Logistics Optimization:</w:t>
      </w:r>
      <w:r>
        <w:t xml:space="preserve"> </w:t>
      </w:r>
      <w:r>
        <w:t xml:space="preserve">Explore more efficient transport modes, optimize routes for reduced distance (from</w:t>
      </w:r>
      <w:r>
        <w:t xml:space="preserve"> </w:t>
      </w:r>
      <w:r>
        <w:rPr>
          <w:bCs/>
          <w:b/>
        </w:rPr>
        <w:t xml:space="preserve">htxkwslkjh</w:t>
      </w:r>
      <w:r>
        <w:t xml:space="preserve">), and consolidate shipments to minimize transport-related emissions.</w:t>
      </w:r>
    </w:p>
    <w:p>
      <w:pPr>
        <w:numPr>
          <w:ilvl w:val="0"/>
          <w:numId w:val="1008"/>
        </w:numPr>
        <w:pStyle w:val="Compact"/>
      </w:pPr>
      <w:r>
        <w:rPr>
          <w:bCs/>
          <w:b/>
        </w:rPr>
        <w:t xml:space="preserve">Product Design for Circularity:</w:t>
      </w:r>
      <w:r>
        <w:t xml:space="preserve"> </w:t>
      </w:r>
      <w:r>
        <w:t xml:space="preserve">Enhance product durability (beyond</w:t>
      </w:r>
      <w:r>
        <w:t xml:space="preserve"> </w:t>
      </w:r>
      <w:r>
        <w:rPr>
          <w:bCs/>
          <w:b/>
        </w:rPr>
        <w:t xml:space="preserve">vdmgjwoijt</w:t>
      </w:r>
      <w:r>
        <w:t xml:space="preserve">) and recyclability (beyond</w:t>
      </w:r>
      <w:r>
        <w:t xml:space="preserve"> </w:t>
      </w:r>
      <w:r>
        <w:rPr>
          <w:bCs/>
          <w:b/>
        </w:rPr>
        <w:t xml:space="preserve">dgxxztsfnf</w:t>
      </w:r>
      <w:r>
        <w:t xml:space="preserve">) and strengthen circular/take-back programs (</w:t>
      </w:r>
      <w:r>
        <w:rPr>
          <w:bCs/>
          <w:b/>
        </w:rPr>
        <w:t xml:space="preserve">dtuldltfxo</w:t>
      </w:r>
      <w:r>
        <w:t xml:space="preserve">) to minimize end-of-life impacts and foster resource loops.</w:t>
      </w:r>
    </w:p>
    <w:p>
      <w:pPr>
        <w:numPr>
          <w:ilvl w:val="0"/>
          <w:numId w:val="1008"/>
        </w:numPr>
        <w:pStyle w:val="Compact"/>
      </w:pPr>
      <w:r>
        <w:rPr>
          <w:bCs/>
          <w:b/>
        </w:rPr>
        <w:t xml:space="preserve">Life-Cycle Thinking:</w:t>
      </w:r>
      <w:r>
        <w:t xml:space="preserve"> </w:t>
      </w:r>
      <w:r>
        <w:t xml:space="preserve">Promote responsible use-phase behavior among consumers to reduce energy consumption (</w:t>
      </w:r>
      <w:r>
        <w:rPr>
          <w:bCs/>
          <w:b/>
        </w:rPr>
        <w:t xml:space="preserve">iyztuoivlt</w:t>
      </w:r>
      <w:r>
        <w:t xml:space="preserve">) during the product\'s lifespan.</w:t>
      </w:r>
    </w:p>
    <w:p>
      <w:pPr>
        <w:pStyle w:val="FirstParagraph"/>
      </w:pPr>
      <w:r>
        <w:t xml:space="preserve">This report provides a robust framework for understanding syeplleknl\'s environmental footprint and serves as a foundation for implementing targeted emission reduction strategies aligned with hyzltufvlj\'s sustainability goals.</w:t>
      </w:r>
    </w:p>
    <w:p>
      <w:pPr>
        <w:pStyle w:val="BodyText"/>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syeplleknl</dc:title>
  <dc:creator/>
  <dc:description>Detailed Product Carbon Footprint (PCF) analysis report for syeplleknl, adhering to GHG Protocol standards and 2026 LSR updates.</dc:description>
  <dc:language>en</dc:language>
  <cp:keywords/>
  <dcterms:created xsi:type="dcterms:W3CDTF">2026-05-30T12:39:56Z</dcterms:created>
  <dcterms:modified xsi:type="dcterms:W3CDTF">2026-05-30T12:39:56Z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