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sviuhpllnz</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sviuhpllnz"/>
    <w:p>
      <w:pPr>
        <w:pStyle w:val="Heading1"/>
      </w:pPr>
      <w:r>
        <w:t xml:space="preserve">for sviuhpllnz</w:t>
      </w:r>
    </w:p>
    <w:p>
      <w:pPr>
        <w:pStyle w:val="FirstParagraph"/>
      </w:pPr>
      <w:r>
        <w:rPr>
          <w:bCs/>
          <w:b/>
        </w:rPr>
        <w:t xml:space="preserve">Company Name:</w:t>
      </w:r>
      <w:r>
        <w:t xml:space="preserve"> </w:t>
      </w:r>
      <w:r>
        <w:t xml:space="preserve">mxfuiptsmq</w:t>
      </w:r>
    </w:p>
    <w:p>
      <w:pPr>
        <w:pStyle w:val="BodyText"/>
      </w:pPr>
      <w:r>
        <w:rPr>
          <w:bCs/>
          <w:b/>
        </w:rPr>
        <w:t xml:space="preserve">Senior Sustainability Consultant:</w:t>
      </w:r>
      <w:r>
        <w:t xml:space="preserve"> </w:t>
      </w:r>
      <w:r>
        <w:t xml:space="preserve">xnxhvgurzr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real-world conditions and data precision. This analysis provides a robust estimate for strategic decision-making.</w:t>
      </w:r>
    </w:p>
    <w:bookmarkEnd w:id="21"/>
    <w:bookmarkStart w:id="22" w:name="X786687e3881e8250da6b009d37bcdef072040fa"/>
    <w:p>
      <w:pPr>
        <w:pStyle w:val="Heading1"/>
      </w:pPr>
      <w:r>
        <w:t xml:space="preserve">Product Carbon Footprint Analysis for sviuhpllnz</w:t>
      </w:r>
    </w:p>
    <w:p>
      <w:pPr>
        <w:pStyle w:val="FirstParagraph"/>
      </w:pPr>
      <w:r>
        <w:t xml:space="preserve">Generated Date: May 27,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\'sviuhpllnz\', manufactured by mxfuiptsmq. The analysis, conducted by xnxhvgurzr, Senior Sustainability Consultant, adheres strictly to the Greenhouse Gas (GHG) Protocol, incorporating the 2026 Land Sector and Removals (LSR) Standard and ensuring at least 95% coverage for Scope 3 emissions. The functional unit for this study is 1.0 unit of \'sviuhpllnz\', with a system boundary set at \'factory_gate\' and a geographic scope focusing on China for final production and Europe for supply chain. The PCF quantifies the total greenhouse gas emissions (expressed in CO2e) associated with the product\'s entire lifecycle, from material extraction to end-of-life, identifying key emission hotspots and informing strategies for carbon reduction.</w:t>
      </w:r>
    </w:p>
    <w:p>
      <w:r>
        <w:pict>
          <v:rect style="width:0;height:1.5pt" o:hralign="center" o:hrstd="t" o:hr="t"/>
        </w:pict>
      </w:r>
    </w:p>
    <w:bookmarkEnd w:id="23"/>
    <w:bookmarkStart w:id="24" w:name="methodology-overview"/>
    <w:p>
      <w:pPr>
        <w:pStyle w:val="Heading2"/>
      </w:pPr>
      <w:r>
        <w:t xml:space="preserve">2. Methodology Overview</w:t>
      </w:r>
    </w:p>
    <w:p>
      <w:pPr>
        <w:pStyle w:val="FirstParagraph"/>
      </w:pPr>
      <w:r>
        <w:t xml:space="preserve">The PCF analysis follows a five-step methodology in accordance with the GHG Protocol Product Standard:</w:t>
      </w:r>
    </w:p>
    <w:p>
      <w:pPr>
        <w:numPr>
          <w:ilvl w:val="0"/>
          <w:numId w:val="1001"/>
        </w:numPr>
        <w:pStyle w:val="Compact"/>
      </w:pPr>
      <w:r>
        <w:rPr>
          <w:bCs/>
          <w:b/>
        </w:rPr>
        <w:t xml:space="preserve">Step 1: Define Scope:</w:t>
      </w:r>
      <w:r>
        <w:t xml:space="preserve"> </w:t>
      </w:r>
      <w:r>
        <w:t xml:space="preserve">Establishing the boundaries and parameters of the study.</w:t>
      </w:r>
    </w:p>
    <w:p>
      <w:pPr>
        <w:numPr>
          <w:ilvl w:val="0"/>
          <w:numId w:val="1001"/>
        </w:numPr>
        <w:pStyle w:val="Compact"/>
      </w:pPr>
      <w:r>
        <w:rPr>
          <w:bCs/>
          <w:b/>
        </w:rPr>
        <w:t xml:space="preserve">Step 2: Map Lifecycle:</w:t>
      </w:r>
      <w:r>
        <w:t xml:space="preserve"> </w:t>
      </w:r>
      <w:r>
        <w:t xml:space="preserve">Identifying all relevant stages and processes in the product\'s life.</w:t>
      </w:r>
    </w:p>
    <w:p>
      <w:pPr>
        <w:numPr>
          <w:ilvl w:val="0"/>
          <w:numId w:val="1001"/>
        </w:numPr>
        <w:pStyle w:val="Compact"/>
      </w:pPr>
      <w:r>
        <w:rPr>
          <w:bCs/>
          <w:b/>
        </w:rPr>
        <w:t xml:space="preserve">Step 3: Collect Data:</w:t>
      </w:r>
      <w:r>
        <w:t xml:space="preserve"> </w:t>
      </w:r>
      <w:r>
        <w:t xml:space="preserve">Gathering primary and secondary data for each lifecycle stage.</w:t>
      </w:r>
    </w:p>
    <w:p>
      <w:pPr>
        <w:numPr>
          <w:ilvl w:val="0"/>
          <w:numId w:val="1001"/>
        </w:numPr>
        <w:pStyle w:val="Compact"/>
      </w:pPr>
      <w:r>
        <w:rPr>
          <w:bCs/>
          <w:b/>
        </w:rPr>
        <w:t xml:space="preserve">Step 4: Calculate Emissions:</w:t>
      </w:r>
      <w:r>
        <w:t xml:space="preserve"> </w:t>
      </w:r>
      <w:r>
        <w:t xml:space="preserve">Quantifying emissions (CO2e) using activity data and emission factors.</w:t>
      </w:r>
    </w:p>
    <w:p>
      <w:pPr>
        <w:numPr>
          <w:ilvl w:val="0"/>
          <w:numId w:val="1001"/>
        </w:numPr>
        <w:pStyle w:val="Compact"/>
      </w:pPr>
      <w:r>
        <w:rPr>
          <w:bCs/>
          <w:b/>
        </w:rPr>
        <w:t xml:space="preserve">Step 5: Review &amp; Report:</w:t>
      </w:r>
      <w:r>
        <w:t xml:space="preserve"> </w:t>
      </w:r>
      <w:r>
        <w:t xml:space="preserve">Analyzing results, identifying hotspots, and reporting findings.</w:t>
      </w:r>
    </w:p>
    <w:p>
      <w:pPr>
        <w:pStyle w:val="FirstParagraph"/>
      </w:pPr>
      <w:r>
        <w:t xml:space="preserve">This analysis categorizes emissions into Scope 1 (direct), Scope 2 (purchased energy), and Scope 3 (value chain) to provide a comprehensive understanding of mxfuiptsmq\'s environmental impact associated with sviuhpllnz. Compliance with the 2026 LSR Update ensures proper accounting for land use and carbon removals, while a rigorous approach to Scope 3 data collection guarantees over 95% coverage, aligning with advanced reporting requirements.</w:t>
      </w:r>
    </w:p>
    <w:p>
      <w:r>
        <w:pict>
          <v:rect style="width:0;height:1.5pt" o:hralign="center" o:hrstd="t" o:hr="t"/>
        </w:pict>
      </w:r>
    </w:p>
    <w:bookmarkEnd w:id="24"/>
    <w:bookmarkStart w:id="30" w:name="step-1-define-scope"/>
    <w:p>
      <w:pPr>
        <w:pStyle w:val="Heading2"/>
      </w:pPr>
      <w:r>
        <w:t xml:space="preserve">3. Step 1: Define Scope</w:t>
      </w:r>
    </w:p>
    <w:bookmarkStart w:id="25" w:name="functional-unit"/>
    <w:p>
      <w:pPr>
        <w:pStyle w:val="Heading3"/>
      </w:pPr>
      <w:r>
        <w:t xml:space="preserve">Functional Unit:</w:t>
      </w:r>
    </w:p>
    <w:p>
      <w:pPr>
        <w:numPr>
          <w:ilvl w:val="0"/>
          <w:numId w:val="1002"/>
        </w:numPr>
        <w:pStyle w:val="Compact"/>
      </w:pPr>
      <w:r>
        <w:rPr>
          <w:bCs/>
          <w:b/>
        </w:rPr>
        <w:t xml:space="preserve">Product:</w:t>
      </w:r>
      <w:r>
        <w:t xml:space="preserve"> </w:t>
      </w:r>
      <w:r>
        <w:t xml:space="preserve">sviuhpllnz</w:t>
      </w:r>
    </w:p>
    <w:p>
      <w:pPr>
        <w:numPr>
          <w:ilvl w:val="0"/>
          <w:numId w:val="1002"/>
        </w:numPr>
        <w:pStyle w:val="Compact"/>
      </w:pPr>
      <w:r>
        <w:rPr>
          <w:bCs/>
          <w:b/>
        </w:rPr>
        <w:t xml:space="preserve">Functional Unit:</w:t>
      </w:r>
      <w:r>
        <w:t xml:space="preserve"> </w:t>
      </w:r>
      <w:r>
        <w:t xml:space="preserve">1.0 unit</w:t>
      </w:r>
    </w:p>
    <w:p>
      <w:pPr>
        <w:numPr>
          <w:ilvl w:val="0"/>
          <w:numId w:val="1002"/>
        </w:numPr>
        <w:pStyle w:val="Compact"/>
      </w:pPr>
      <w:r>
        <w:rPr>
          <w:bCs/>
          <w:b/>
        </w:rPr>
        <w:t xml:space="preserve">Reference Flow:</w:t>
      </w:r>
      <w:r>
        <w:t xml:space="preserve"> </w:t>
      </w:r>
      <w:r>
        <w:t xml:space="preserve">The production, use, and end-of-life of one unit of sviuhpllnz.</w:t>
      </w:r>
    </w:p>
    <w:bookmarkEnd w:id="25"/>
    <w:bookmarkStart w:id="26" w:name="system-boundary"/>
    <w:p>
      <w:pPr>
        <w:pStyle w:val="Heading3"/>
      </w:pPr>
      <w:r>
        <w:t xml:space="preserve">System Boundary:</w:t>
      </w:r>
    </w:p>
    <w:p>
      <w:pPr>
        <w:numPr>
          <w:ilvl w:val="0"/>
          <w:numId w:val="1003"/>
        </w:numPr>
        <w:pStyle w:val="Compact"/>
      </w:pPr>
      <w:r>
        <w:rPr>
          <w:bCs/>
          <w:b/>
        </w:rPr>
        <w:t xml:space="preserve">Boundary Type:</w:t>
      </w:r>
      <w:r>
        <w:t xml:space="preserve"> </w:t>
      </w:r>
      <w:r>
        <w:t xml:space="preserve">Cradle-to-grave (following the product\'s lifecycle from material acquisition to end-of-life treatment).</w:t>
      </w:r>
    </w:p>
    <w:p>
      <w:pPr>
        <w:numPr>
          <w:ilvl w:val="0"/>
          <w:numId w:val="1003"/>
        </w:numPr>
        <w:pStyle w:val="Compact"/>
      </w:pPr>
      <w:r>
        <w:rPr>
          <w:bCs/>
          <w:b/>
        </w:rPr>
        <w:t xml:space="preserve">Specific Boundary:</w:t>
      </w:r>
      <w:r>
        <w:t xml:space="preserve"> </w:t>
      </w:r>
      <w:r>
        <w:t xml:space="preserve">\'factory_gate\' as the primary point of analysis for direct operational control, extending to upstream (supply chain) and downstream (use phase, end-of-life).</w:t>
      </w:r>
    </w:p>
    <w:bookmarkEnd w:id="26"/>
    <w:bookmarkStart w:id="27" w:name="geographic-scope"/>
    <w:p>
      <w:pPr>
        <w:pStyle w:val="Heading3"/>
      </w:pPr>
      <w:r>
        <w:t xml:space="preserve">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material sourcing and intermediate processing from Europe to China, and distribution to Europe).</w:t>
      </w:r>
    </w:p>
    <w:bookmarkEnd w:id="27"/>
    <w:bookmarkStart w:id="28" w:name="allocation"/>
    <w:p>
      <w:pPr>
        <w:pStyle w:val="Heading3"/>
      </w:pPr>
      <w:r>
        <w:t xml:space="preserve">Allocation:</w:t>
      </w:r>
    </w:p>
    <w:p>
      <w:pPr>
        <w:numPr>
          <w:ilvl w:val="0"/>
          <w:numId w:val="1005"/>
        </w:numPr>
        <w:pStyle w:val="Compact"/>
      </w:pPr>
      <w:r>
        <w:t xml:space="preserve">Emissions are allocated directly to the functional unit (1.0 unit of sviuhpllnz) based on mass, economic value, or physical causality where appropriate, following GHG Protocol guidance. No co-product allocation is explicitly defined for this single product analysis.</w:t>
      </w:r>
    </w:p>
    <w:bookmarkEnd w:id="28"/>
    <w:bookmarkStart w:id="29" w:name="accounting-standard"/>
    <w:p>
      <w:pPr>
        <w:pStyle w:val="Heading3"/>
      </w:pPr>
      <w:r>
        <w:t xml:space="preserve">Accounting Standard:</w:t>
      </w:r>
    </w:p>
    <w:p>
      <w:pPr>
        <w:numPr>
          <w:ilvl w:val="0"/>
          <w:numId w:val="1006"/>
        </w:numPr>
        <w:pStyle w:val="Compact"/>
      </w:pPr>
      <w:r>
        <w:t xml:space="preserve">This Product Carbon Footprint analysis is conducted in strict accordance with the</w:t>
      </w:r>
      <w:r>
        <w:t xml:space="preserve"> </w:t>
      </w:r>
      <w:r>
        <w:rPr>
          <w:bCs/>
          <w:b/>
        </w:rPr>
        <w:t xml:space="preserve">GHG Protocol Product Life Cycle Accounting and Reporting Standard (2011)</w:t>
      </w:r>
      <w:r>
        <w:t xml:space="preserve">, with particular attention to the forthcoming</w:t>
      </w:r>
      <w:r>
        <w:t xml:space="preserve"> </w:t>
      </w:r>
      <w:r>
        <w:rPr>
          <w:bCs/>
          <w:b/>
        </w:rPr>
        <w:t xml:space="preserve">2026 Land Sector and Removals (LSR) Standard</w:t>
      </w:r>
      <w:r>
        <w:t xml:space="preserve"> </w:t>
      </w:r>
      <w:r>
        <w:t xml:space="preserve">for relevant land-based impacts and removals, and ensuring comprehensive</w:t>
      </w:r>
      <w:r>
        <w:t xml:space="preserve"> </w:t>
      </w:r>
      <w:r>
        <w:rPr>
          <w:bCs/>
          <w:b/>
        </w:rPr>
        <w:t xml:space="preserve">Scope 3 compliance (target &gt;95% coverage)</w:t>
      </w:r>
      <w:r>
        <w:t xml:space="preserve">.</w:t>
      </w:r>
    </w:p>
    <w:p>
      <w:r>
        <w:pict>
          <v:rect style="width:0;height:1.5pt" o:hralign="center" o:hrstd="t" o:hr="t"/>
        </w:pict>
      </w:r>
    </w:p>
    <w:bookmarkEnd w:id="29"/>
    <w:bookmarkEnd w:id="30"/>
    <w:bookmarkStart w:id="37" w:name="steps-2-3-map-lifecycle-and-collect-data"/>
    <w:p>
      <w:pPr>
        <w:pStyle w:val="Heading2"/>
      </w:pPr>
      <w:r>
        <w:t xml:space="preserve">4. Steps 2 &amp; 3: Map Lifecycle and Collect Data</w:t>
      </w:r>
    </w:p>
    <w:bookmarkStart w:id="36" w:name="X3cff0b1cbf88567484aa1ef2849ef9e37d250c1"/>
    <w:p>
      <w:pPr>
        <w:pStyle w:val="Heading3"/>
      </w:pPr>
      <w:r>
        <w:t xml:space="preserve">Lifecycle Stages and Associated Data Points:</w:t>
      </w:r>
    </w:p>
    <w:bookmarkStart w:id="31" w:name="Xe73710d538ef1e5e4bb1f987ee0a53d62e6def2"/>
    <w:p>
      <w:pPr>
        <w:pStyle w:val="Heading4"/>
      </w:pPr>
      <w:r>
        <w:t xml:space="preserve">A. Raw Material Acquisition &amp; Pre-processing (Scope 3, Category 1 - Purchased goods and services)</w:t>
      </w:r>
    </w:p>
    <w:p>
      <w:pPr>
        <w:pStyle w:val="FirstParagraph"/>
      </w:pPr>
      <w:r>
        <w:t xml:space="preserve">The Bill of Materials (BOM) for sviuhpllnz is a critical input for high-accuracy material impact calculation. The following detailed BOM data is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Qty)</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102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103</w:t>
            </w:r>
          </w:p>
        </w:tc>
        <w:tc>
          <w:tcPr/>
          <w:p>
            <w:pPr>
              <w:pStyle w:val="Compact"/>
              <w:jc w:val="left"/>
            </w:pPr>
            <w:r>
              <w:t xml:space="preserve">Electronic Chipset</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104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Battery Cell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w:t>
            </w:r>
          </w:p>
        </w:tc>
        <w:tc>
          <w:tcPr/>
          <w:p>
            <w:pPr>
              <w:pStyle w:val="Compact"/>
              <w:jc w:val="left"/>
            </w:pPr>
            <w:r>
              <w:t xml:space="preserve">0.12</w:t>
            </w:r>
          </w:p>
        </w:tc>
      </w:tr>
      <w:tr>
        <w:tc>
          <w:tcPr/>
          <w:p>
            <w:pPr>
              <w:pStyle w:val="Compact"/>
              <w:jc w:val="left"/>
            </w:pPr>
            <w:r>
              <w:t xml:space="preserve">106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p>
            <w:pPr>
              <w:pStyle w:val="Compact"/>
              <w:jc w:val="left"/>
            </w:pPr>
            <w:r>
              <w:t xml:space="preserve">107</w:t>
            </w:r>
          </w:p>
        </w:tc>
        <w:tc>
          <w:tcPr/>
          <w:p>
            <w:pPr>
              <w:pStyle w:val="Compact"/>
              <w:jc w:val="left"/>
            </w:pPr>
            <w:r>
              <w:t xml:space="preserve">User Manual (Recycled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0.008</w:t>
            </w:r>
          </w:p>
        </w:tc>
      </w:tr>
    </w:tbl>
    <w:p>
      <w:pPr>
        <w:pStyle w:val="BodyText"/>
      </w:pPr>
      <w:r>
        <w:rPr>
          <w:iCs/>
          <w:i/>
        </w:rPr>
        <w:t xml:space="preserve">Note: Emission Factors (EF) are representative industry averages (e.g., from Ecoinvent/DEFRA type databases) and are provided for illustrative calculation based on the given BOM format. Actual EFs would be sourced from specific databases.</w:t>
      </w:r>
    </w:p>
    <w:bookmarkEnd w:id="31"/>
    <w:bookmarkStart w:id="32" w:name="b.-production-phase-scope-1-2"/>
    <w:p>
      <w:pPr>
        <w:pStyle w:val="Heading4"/>
      </w:pPr>
      <w:r>
        <w:t xml:space="preserve">B. Production Phase (Scope 1 &amp; 2)</w:t>
      </w:r>
    </w:p>
    <w:p>
      <w:pPr>
        <w:numPr>
          <w:ilvl w:val="0"/>
          <w:numId w:val="1007"/>
        </w:numPr>
        <w:pStyle w:val="Compact"/>
      </w:pPr>
      <w:r>
        <w:rPr>
          <w:bCs/>
          <w:b/>
        </w:rPr>
        <w:t xml:space="preserve">Energy Intensity (kWh/unit):</w:t>
      </w:r>
      <w:r>
        <w:t xml:space="preserve"> </w:t>
      </w:r>
      <w:r>
        <w:t xml:space="preserve">0.5 kWh/unit</w:t>
      </w:r>
    </w:p>
    <w:p>
      <w:pPr>
        <w:numPr>
          <w:ilvl w:val="0"/>
          <w:numId w:val="1007"/>
        </w:numPr>
        <w:pStyle w:val="Compact"/>
      </w:pPr>
      <w:r>
        <w:rPr>
          <w:bCs/>
          <w:b/>
        </w:rPr>
        <w:t xml:space="preserve">Renewable Energy Usage:</w:t>
      </w:r>
      <w:r>
        <w:t xml:space="preserve"> </w:t>
      </w:r>
      <w:r>
        <w:t xml:space="preserve">70%</w:t>
      </w:r>
    </w:p>
    <w:p>
      <w:pPr>
        <w:numPr>
          <w:ilvl w:val="0"/>
          <w:numId w:val="1007"/>
        </w:numPr>
        <w:pStyle w:val="Compact"/>
      </w:pPr>
      <w:r>
        <w:rPr>
          <w:bCs/>
          <w:b/>
        </w:rPr>
        <w:t xml:space="preserve">Grid Electricity Emission Factor (China):</w:t>
      </w:r>
      <w:r>
        <w:t xml:space="preserve"> </w:t>
      </w:r>
      <w:r>
        <w:t xml:space="preserve">0.7 kgCO2e/kWh (estimated average for the region)</w:t>
      </w:r>
    </w:p>
    <w:p>
      <w:pPr>
        <w:numPr>
          <w:ilvl w:val="0"/>
          <w:numId w:val="1007"/>
        </w:numPr>
        <w:pStyle w:val="Compact"/>
      </w:pPr>
      <w:r>
        <w:rPr>
          <w:bCs/>
          <w:b/>
        </w:rPr>
        <w:t xml:space="preserve">Scope 1 Emissions:</w:t>
      </w:r>
      <w:r>
        <w:t xml:space="preserve"> </w:t>
      </w:r>
      <w:r>
        <w:t xml:space="preserve">Direct emissions from on-site fuel combustion for heating or processes. For a \'factory_gate\' boundary, if production relies solely on purchased electricity and no on-site fossil fuels are burnt, Scope 1 could be negligible or zero for direct product manufacturing. Assuming minor direct emissions for process heat, if any, are covered by the energy intensity.</w:t>
      </w:r>
    </w:p>
    <w:bookmarkEnd w:id="32"/>
    <w:bookmarkStart w:id="33" w:name="Xeacab197fca7d90cd45aaf635986f575d31f0ee"/>
    <w:p>
      <w:pPr>
        <w:pStyle w:val="Heading4"/>
      </w:pPr>
      <w:r>
        <w:t xml:space="preserve">C. Transportation and Distribution (Scope 3, Category 4 - Transportation and distribution)</w:t>
      </w:r>
    </w:p>
    <w:p>
      <w:pPr>
        <w:pStyle w:val="FirstParagraph"/>
      </w:pPr>
      <w:r>
        <w:t xml:space="preserve">Specific logistics data has been incorporated into the supply chain analysis.</w:t>
      </w:r>
    </w:p>
    <w:p>
      <w:pPr>
        <w:numPr>
          <w:ilvl w:val="0"/>
          <w:numId w:val="1008"/>
        </w:numPr>
        <w:pStyle w:val="Compact"/>
      </w:pPr>
      <w:r>
        <w:rPr>
          <w:bCs/>
          <w:b/>
        </w:rPr>
        <w:t xml:space="preserve">Inbound Transport (to China factory, Europe Focused Supply Chain):</w:t>
      </w:r>
    </w:p>
    <w:p>
      <w:pPr>
        <w:numPr>
          <w:ilvl w:val="1"/>
          <w:numId w:val="1009"/>
        </w:numPr>
        <w:pStyle w:val="Compact"/>
      </w:pPr>
      <w:r>
        <w:rPr>
          <w:bCs/>
          <w:b/>
        </w:rPr>
        <w:t xml:space="preserve">Mode:</w:t>
      </w:r>
      <w:r>
        <w:t xml:space="preserve"> </w:t>
      </w:r>
      <w:r>
        <w:t xml:space="preserve">Sea Freight (Bulk Carrier, long distance from Europe to China)</w:t>
      </w:r>
    </w:p>
    <w:p>
      <w:pPr>
        <w:numPr>
          <w:ilvl w:val="1"/>
          <w:numId w:val="1009"/>
        </w:numPr>
        <w:pStyle w:val="Compact"/>
      </w:pPr>
      <w:r>
        <w:rPr>
          <w:bCs/>
          <w:b/>
        </w:rPr>
        <w:t xml:space="preserve">Distance:</w:t>
      </w:r>
      <w:r>
        <w:t xml:space="preserve"> </w:t>
      </w:r>
      <w:r>
        <w:t xml:space="preserve">15,000 km (representative Europe to China)</w:t>
      </w:r>
    </w:p>
    <w:p>
      <w:pPr>
        <w:numPr>
          <w:ilvl w:val="1"/>
          <w:numId w:val="1009"/>
        </w:numPr>
        <w:pStyle w:val="Compact"/>
      </w:pPr>
      <w:r>
        <w:rPr>
          <w:bCs/>
          <w:b/>
        </w:rPr>
        <w:t xml:space="preserve">Assumed Product Weight:</w:t>
      </w:r>
      <w:r>
        <w:t xml:space="preserve"> </w:t>
      </w:r>
      <w:r>
        <w:t xml:space="preserve">~1.0 kg/unit (sum of BOM for 1 unit + other components/waste)</w:t>
      </w:r>
    </w:p>
    <w:p>
      <w:pPr>
        <w:numPr>
          <w:ilvl w:val="1"/>
          <w:numId w:val="1009"/>
        </w:numPr>
        <w:pStyle w:val="Compact"/>
      </w:pPr>
      <w:r>
        <w:rPr>
          <w:bCs/>
          <w:b/>
        </w:rPr>
        <w:t xml:space="preserve">Emission Factor (Sea Freight):</w:t>
      </w:r>
      <w:r>
        <w:t xml:space="preserve"> </w:t>
      </w:r>
      <w:r>
        <w:t xml:space="preserve">0.01 kgCO2e/tonne-km (approx.)</w:t>
      </w:r>
    </w:p>
    <w:p>
      <w:pPr>
        <w:numPr>
          <w:ilvl w:val="0"/>
          <w:numId w:val="1008"/>
        </w:numPr>
        <w:pStyle w:val="Compact"/>
      </w:pPr>
      <w:r>
        <w:rPr>
          <w:bCs/>
          <w:b/>
        </w:rPr>
        <w:t xml:space="preserve">Outbound Transport (from China factory to European distribution center):</w:t>
      </w:r>
    </w:p>
    <w:p>
      <w:pPr>
        <w:numPr>
          <w:ilvl w:val="1"/>
          <w:numId w:val="1010"/>
        </w:numPr>
        <w:pStyle w:val="Compact"/>
      </w:pPr>
      <w:r>
        <w:rPr>
          <w:bCs/>
          <w:b/>
        </w:rPr>
        <w:t xml:space="preserve">Mode:</w:t>
      </w:r>
      <w:r>
        <w:t xml:space="preserve"> </w:t>
      </w:r>
      <w:r>
        <w:t xml:space="preserve">Sea Freight (Container Ship)</w:t>
      </w:r>
    </w:p>
    <w:p>
      <w:pPr>
        <w:numPr>
          <w:ilvl w:val="1"/>
          <w:numId w:val="1010"/>
        </w:numPr>
        <w:pStyle w:val="Compact"/>
      </w:pPr>
      <w:r>
        <w:rPr>
          <w:bCs/>
          <w:b/>
        </w:rPr>
        <w:t xml:space="preserve">Distance:</w:t>
      </w:r>
      <w:r>
        <w:t xml:space="preserve"> </w:t>
      </w:r>
      <w:r>
        <w:t xml:space="preserve">15,000 km</w:t>
      </w:r>
    </w:p>
    <w:p>
      <w:pPr>
        <w:numPr>
          <w:ilvl w:val="1"/>
          <w:numId w:val="1010"/>
        </w:numPr>
        <w:pStyle w:val="Compact"/>
      </w:pPr>
      <w:r>
        <w:rPr>
          <w:bCs/>
          <w:b/>
        </w:rPr>
        <w:t xml:space="preserve">Emission Factor (Sea Freight):</w:t>
      </w:r>
      <w:r>
        <w:t xml:space="preserve"> </w:t>
      </w:r>
      <w:r>
        <w:t xml:space="preserve">0.01 kgCO2e/tonne-km (approx.)</w:t>
      </w:r>
    </w:p>
    <w:p>
      <w:pPr>
        <w:numPr>
          <w:ilvl w:val="0"/>
          <w:numId w:val="1008"/>
        </w:numPr>
        <w:pStyle w:val="Compact"/>
      </w:pPr>
      <w:r>
        <w:rPr>
          <w:bCs/>
          <w:b/>
        </w:rPr>
        <w:t xml:space="preserve">Last-Mile Delivery (from distribution center to end-customer in Europe):</w:t>
      </w:r>
    </w:p>
    <w:p>
      <w:pPr>
        <w:numPr>
          <w:ilvl w:val="1"/>
          <w:numId w:val="1011"/>
        </w:numPr>
        <w:pStyle w:val="Compact"/>
      </w:pPr>
      <w:r>
        <w:rPr>
          <w:bCs/>
          <w:b/>
        </w:rPr>
        <w:t xml:space="preserve">Mode:</w:t>
      </w:r>
      <w:r>
        <w:t xml:space="preserve"> </w:t>
      </w:r>
      <w:r>
        <w:t xml:space="preserve">Local Van Delivery</w:t>
      </w:r>
    </w:p>
    <w:p>
      <w:pPr>
        <w:numPr>
          <w:ilvl w:val="1"/>
          <w:numId w:val="1011"/>
        </w:numPr>
        <w:pStyle w:val="Compact"/>
      </w:pPr>
      <w:r>
        <w:rPr>
          <w:bCs/>
          <w:b/>
        </w:rPr>
        <w:t xml:space="preserve">Distance:</w:t>
      </w:r>
      <w:r>
        <w:t xml:space="preserve"> </w:t>
      </w:r>
      <w:r>
        <w:t xml:space="preserve">200 km (average for last-mile)</w:t>
      </w:r>
    </w:p>
    <w:p>
      <w:pPr>
        <w:numPr>
          <w:ilvl w:val="1"/>
          <w:numId w:val="1011"/>
        </w:numPr>
        <w:pStyle w:val="Compact"/>
      </w:pPr>
      <w:r>
        <w:rPr>
          <w:bCs/>
          <w:b/>
        </w:rPr>
        <w:t xml:space="preserve">Emission Factor (Local Van Delivery):</w:t>
      </w:r>
      <w:r>
        <w:t xml:space="preserve"> </w:t>
      </w:r>
      <w:r>
        <w:t xml:space="preserve">0.15 kgCO2e/tonne-km (approx., assuming van capacity utilization)</w:t>
      </w:r>
    </w:p>
    <w:bookmarkEnd w:id="33"/>
    <w:bookmarkStart w:id="34" w:name="Xd007defab0983d91e52e2507d99c889f932653b"/>
    <w:p>
      <w:pPr>
        <w:pStyle w:val="Heading4"/>
      </w:pPr>
      <w:r>
        <w:t xml:space="preserve">D. Use Phase (Scope 3, Category 11 - Use of sold products)</w:t>
      </w:r>
    </w:p>
    <w:p>
      <w:pPr>
        <w:pStyle w:val="FirstParagraph"/>
      </w:pPr>
      <w:r>
        <w:t xml:space="preserve">The use phase calculation uses specific durability and consumption data.</w:t>
      </w:r>
    </w:p>
    <w:p>
      <w:pPr>
        <w:numPr>
          <w:ilvl w:val="0"/>
          <w:numId w:val="1012"/>
        </w:numPr>
        <w:pStyle w:val="Compact"/>
      </w:pPr>
      <w:r>
        <w:rPr>
          <w:bCs/>
          <w:b/>
        </w:rPr>
        <w:t xml:space="preserve">Product Lifespan:</w:t>
      </w:r>
      <w:r>
        <w:t xml:space="preserve"> </w:t>
      </w:r>
      <w:r>
        <w:t xml:space="preserve">5 years</w:t>
      </w:r>
    </w:p>
    <w:p>
      <w:pPr>
        <w:numPr>
          <w:ilvl w:val="0"/>
          <w:numId w:val="1012"/>
        </w:numPr>
        <w:pStyle w:val="Compact"/>
      </w:pPr>
      <w:r>
        <w:rPr>
          <w:bCs/>
          <w:b/>
        </w:rPr>
        <w:t xml:space="preserve">Energy Consumption in Use (per year):</w:t>
      </w:r>
      <w:r>
        <w:t xml:space="preserve"> </w:t>
      </w:r>
      <w:r>
        <w:t xml:space="preserve">10 kWh/year</w:t>
      </w:r>
    </w:p>
    <w:p>
      <w:pPr>
        <w:numPr>
          <w:ilvl w:val="0"/>
          <w:numId w:val="1012"/>
        </w:numPr>
        <w:pStyle w:val="Compact"/>
      </w:pPr>
      <w:r>
        <w:rPr>
          <w:bCs/>
          <w:b/>
        </w:rPr>
        <w:t xml:space="preserve">Electricity Emission Factor (User Location - Europe average):</w:t>
      </w:r>
      <w:r>
        <w:t xml:space="preserve"> </w:t>
      </w:r>
      <w:r>
        <w:t xml:space="preserve">0.25 kgCO2e/kWh (estimated average for European grid)</w:t>
      </w:r>
    </w:p>
    <w:bookmarkEnd w:id="34"/>
    <w:bookmarkStart w:id="35" w:name="X0c35438a39504bf16989e1101b8d54f6d1daefa"/>
    <w:p>
      <w:pPr>
        <w:pStyle w:val="Heading4"/>
      </w:pPr>
      <w:r>
        <w:t xml:space="preserve">E. End-of-Life (EoL) Scenarios (Scope 3, Category 12 - End-of-life treatment of sold products)</w:t>
      </w:r>
    </w:p>
    <w:p>
      <w:pPr>
        <w:pStyle w:val="FirstParagraph"/>
      </w:pPr>
      <w:r>
        <w:t xml:space="preserve">Circular economy impacts are reflected by incorporating EoL scenarios.</w:t>
      </w:r>
    </w:p>
    <w:p>
      <w:pPr>
        <w:numPr>
          <w:ilvl w:val="0"/>
          <w:numId w:val="1013"/>
        </w:numPr>
        <w:pStyle w:val="Compact"/>
      </w:pPr>
      <w:r>
        <w:rPr>
          <w:bCs/>
          <w:b/>
        </w:rPr>
        <w:t xml:space="preserve">Recyclability Percentage:</w:t>
      </w:r>
      <w:r>
        <w:t xml:space="preserve"> </w:t>
      </w:r>
      <w:r>
        <w:t xml:space="preserve">80% (of total product mass)</w:t>
      </w:r>
    </w:p>
    <w:p>
      <w:pPr>
        <w:numPr>
          <w:ilvl w:val="0"/>
          <w:numId w:val="1013"/>
        </w:numPr>
        <w:pStyle w:val="Compact"/>
      </w:pPr>
      <w:r>
        <w:rPr>
          <w:bCs/>
          <w:b/>
        </w:rPr>
        <w:t xml:space="preserve">Circular/Take-back Programs:</w:t>
      </w:r>
      <w:r>
        <w:t xml:space="preserve"> </w:t>
      </w:r>
      <w:r>
        <w:t xml:space="preserve">Yes, producer take-back program and established recycling partnerships are in place.</w:t>
      </w:r>
    </w:p>
    <w:p>
      <w:pPr>
        <w:numPr>
          <w:ilvl w:val="0"/>
          <w:numId w:val="1013"/>
        </w:numPr>
        <w:pStyle w:val="Compact"/>
      </w:pPr>
      <w:r>
        <w:rPr>
          <w:bCs/>
          <w:b/>
        </w:rPr>
        <w:t xml:space="preserve">EoL Treatment Assumptions:</w:t>
      </w:r>
    </w:p>
    <w:p>
      <w:pPr>
        <w:numPr>
          <w:ilvl w:val="1"/>
          <w:numId w:val="1014"/>
        </w:numPr>
        <w:pStyle w:val="Compact"/>
      </w:pPr>
      <w:r>
        <w:t xml:space="preserve">80% of material mass is recycled (avoided emissions credit assumed or reduced processing emissions).</w:t>
      </w:r>
    </w:p>
    <w:p>
      <w:pPr>
        <w:numPr>
          <w:ilvl w:val="1"/>
          <w:numId w:val="1014"/>
        </w:numPr>
        <w:pStyle w:val="Compact"/>
      </w:pPr>
      <w:r>
        <w:t xml:space="preserve">20% of material mass is sent to landfill (landfill emission factor).</w:t>
      </w:r>
    </w:p>
    <w:p>
      <w:pPr>
        <w:numPr>
          <w:ilvl w:val="1"/>
          <w:numId w:val="1014"/>
        </w:numPr>
        <w:pStyle w:val="Compact"/>
      </w:pPr>
      <w:r>
        <w:t xml:space="preserve">EoL processing energy for recycling/landfill.</w:t>
      </w:r>
    </w:p>
    <w:p>
      <w:r>
        <w:pict>
          <v:rect style="width:0;height:1.5pt" o:hralign="center" o:hrstd="t" o:hr="t"/>
        </w:pict>
      </w:r>
    </w:p>
    <w:bookmarkEnd w:id="35"/>
    <w:bookmarkEnd w:id="36"/>
    <w:bookmarkEnd w:id="37"/>
    <w:bookmarkStart w:id="47" w:name="step-4-calculate-emissions-co2e"/>
    <w:p>
      <w:pPr>
        <w:pStyle w:val="Heading2"/>
      </w:pPr>
      <w:r>
        <w:t xml:space="preserve">5. Step 4: Calculate Emissions (CO2e)</w:t>
      </w:r>
    </w:p>
    <w:p>
      <w:pPr>
        <w:pStyle w:val="FirstParagraph"/>
      </w:pPr>
      <w:r>
        <w:t xml:space="preserve">Emissions are calculated by multiplying activity data by relevant emission factors. The results are categorized according to GHG Protocol Scopes.</w:t>
      </w:r>
    </w:p>
    <w:bookmarkStart w:id="38" w:name="X44a3a314ad955e84153094da7f31c2e29c4ed35"/>
    <w:p>
      <w:pPr>
        <w:pStyle w:val="Heading3"/>
      </w:pPr>
      <w:r>
        <w:t xml:space="preserve">A. Raw Material Acquisition &amp; Pre-processing (Scope 3, Category 1)</w:t>
      </w:r>
    </w:p>
    <w:p>
      <w:pPr>
        <w:pStyle w:val="FirstParagraph"/>
      </w:pPr>
      <w:r>
        <w:t xml:space="preserve">Total carbon for materials is directly taken from the BOM table, which sums up to: 5.0 + 0.7 + 2.0 + 0.75 + 0.12 + 0.18 + 0.008 = 8.758 kgCO2e.</w:t>
      </w:r>
    </w:p>
    <w:p>
      <w:pPr>
        <w:pStyle w:val="BodyText"/>
      </w:pPr>
      <w:r>
        <w:rPr>
          <w:bCs/>
          <w:b/>
        </w:rPr>
        <w:t xml:space="preserve">Total Material Emissions: 8.758 kgCO2e</w:t>
      </w:r>
    </w:p>
    <w:bookmarkEnd w:id="38"/>
    <w:bookmarkStart w:id="39" w:name="b.-production-phase-scope-2"/>
    <w:p>
      <w:pPr>
        <w:pStyle w:val="Heading3"/>
      </w:pPr>
      <w:r>
        <w:t xml:space="preserve">B. Production Phase (Scope 2)</w:t>
      </w:r>
    </w:p>
    <w:p>
      <w:pPr>
        <w:pStyle w:val="FirstParagraph"/>
      </w:pPr>
      <w:r>
        <w:t xml:space="preserve">The energy intensity for production is 0.5 kWh/unit, with 70% from renewable sources. The remaining 30% uses grid electricity.</w:t>
      </w:r>
    </w:p>
    <w:p>
      <w:pPr>
        <w:numPr>
          <w:ilvl w:val="0"/>
          <w:numId w:val="1015"/>
        </w:numPr>
        <w:pStyle w:val="Compact"/>
      </w:pPr>
      <w:r>
        <w:t xml:space="preserve">Grid Electricity Consumed: 0.5 kWh/unit * (1 - 0.70) = 0.15 kWh/unit</w:t>
      </w:r>
    </w:p>
    <w:p>
      <w:pPr>
        <w:numPr>
          <w:ilvl w:val="0"/>
          <w:numId w:val="1015"/>
        </w:numPr>
        <w:pStyle w:val="Compact"/>
      </w:pPr>
      <w:r>
        <w:t xml:space="preserve">Emissions from Grid Electricity: 0.15 kWh/unit * 0.7 kgCO2e/kWh = 0.105 kgCO2e</w:t>
      </w:r>
    </w:p>
    <w:p>
      <w:pPr>
        <w:pStyle w:val="FirstParagraph"/>
      </w:pPr>
      <w:r>
        <w:rPr>
          <w:bCs/>
          <w:b/>
        </w:rPr>
        <w:t xml:space="preserve">Total Production Emissions (Scope 2): 0.105 kgCO2e</w:t>
      </w:r>
    </w:p>
    <w:p>
      <w:pPr>
        <w:pStyle w:val="BodyText"/>
      </w:pPr>
      <w:r>
        <w:rPr>
          <w:iCs/>
          <w:i/>
        </w:rPr>
        <w:t xml:space="preserve">Note on Scope 1: Assuming no direct on-site combustion for manufacturing processes under the \'factory_gate\' system boundary where purchased electricity is the primary energy source. If there were, they would be calculated separately here.</w:t>
      </w:r>
    </w:p>
    <w:bookmarkEnd w:id="39"/>
    <w:bookmarkStart w:id="40" w:name="Xba5584471e4a231edb3eb46f9479d22f09a3bca"/>
    <w:p>
      <w:pPr>
        <w:pStyle w:val="Heading3"/>
      </w:pPr>
      <w:r>
        <w:t xml:space="preserve">C. Transportation and Distribution (Scope 3, Category 4)</w:t>
      </w:r>
    </w:p>
    <w:p>
      <w:pPr>
        <w:pStyle w:val="FirstParagraph"/>
      </w:pPr>
      <w:r>
        <w:t xml:space="preserve">Assuming a total product weight of approximately 1.0 kg (0.001 tonne) for calculations.</w:t>
      </w:r>
    </w:p>
    <w:p>
      <w:pPr>
        <w:numPr>
          <w:ilvl w:val="0"/>
          <w:numId w:val="1016"/>
        </w:numPr>
        <w:pStyle w:val="Compact"/>
      </w:pPr>
      <w:r>
        <w:rPr>
          <w:bCs/>
          <w:b/>
        </w:rPr>
        <w:t xml:space="preserve">Inbound Sea Freight (Materials):</w:t>
      </w:r>
      <w:r>
        <w:t xml:space="preserve"> </w:t>
      </w:r>
      <w:r>
        <w:t xml:space="preserve">0.001 tonne * 15,000 km * 0.01 kgCO2e/tonne-km = 0.15 kgCO2e</w:t>
      </w:r>
    </w:p>
    <w:p>
      <w:pPr>
        <w:numPr>
          <w:ilvl w:val="0"/>
          <w:numId w:val="1016"/>
        </w:numPr>
        <w:pStyle w:val="Compact"/>
      </w:pPr>
      <w:r>
        <w:rPr>
          <w:bCs/>
          <w:b/>
        </w:rPr>
        <w:t xml:space="preserve">Outbound Sea Freight (Product to Europe):</w:t>
      </w:r>
      <w:r>
        <w:t xml:space="preserve"> </w:t>
      </w:r>
      <w:r>
        <w:t xml:space="preserve">0.001 tonne * 15,000 km * 0.01 kgCO2e/tonne-km = 0.15 kgCO2e</w:t>
      </w:r>
    </w:p>
    <w:p>
      <w:pPr>
        <w:numPr>
          <w:ilvl w:val="0"/>
          <w:numId w:val="1016"/>
        </w:numPr>
        <w:pStyle w:val="Compact"/>
      </w:pPr>
      <w:r>
        <w:rPr>
          <w:bCs/>
          <w:b/>
        </w:rPr>
        <w:t xml:space="preserve">Last-Mile Local Van Delivery:</w:t>
      </w:r>
      <w:r>
        <w:t xml:space="preserve"> </w:t>
      </w:r>
      <w:r>
        <w:t xml:space="preserve">0.001 tonne * 200 km * 0.15 kgCO2e/tonne-km = 0.03 kgCO2e</w:t>
      </w:r>
    </w:p>
    <w:p>
      <w:pPr>
        <w:pStyle w:val="FirstParagraph"/>
      </w:pPr>
      <w:r>
        <w:rPr>
          <w:bCs/>
          <w:b/>
        </w:rPr>
        <w:t xml:space="preserve">Total Transportation Emissions: 0.15 + 0.15 + 0.03 = 0.33 kgCO2e</w:t>
      </w:r>
    </w:p>
    <w:bookmarkEnd w:id="40"/>
    <w:bookmarkStart w:id="41" w:name="d.-use-phase-scope-3-category-11"/>
    <w:p>
      <w:pPr>
        <w:pStyle w:val="Heading3"/>
      </w:pPr>
      <w:r>
        <w:t xml:space="preserve">D. Use Phase (Scope 3, Category 11)</w:t>
      </w:r>
    </w:p>
    <w:p>
      <w:pPr>
        <w:numPr>
          <w:ilvl w:val="0"/>
          <w:numId w:val="1017"/>
        </w:numPr>
        <w:pStyle w:val="Compact"/>
      </w:pPr>
      <w:r>
        <w:t xml:space="preserve">Annual Energy Consumption: 10 kWh/year</w:t>
      </w:r>
    </w:p>
    <w:p>
      <w:pPr>
        <w:numPr>
          <w:ilvl w:val="0"/>
          <w:numId w:val="1017"/>
        </w:numPr>
        <w:pStyle w:val="Compact"/>
      </w:pPr>
      <w:r>
        <w:t xml:space="preserve">Product Lifespan: 5 years</w:t>
      </w:r>
    </w:p>
    <w:p>
      <w:pPr>
        <w:numPr>
          <w:ilvl w:val="0"/>
          <w:numId w:val="1017"/>
        </w:numPr>
        <w:pStyle w:val="Compact"/>
      </w:pPr>
      <w:r>
        <w:t xml:space="preserve">Total Energy Consumption over lifespan: 10 kWh/year * 5 years = 50 kWh</w:t>
      </w:r>
    </w:p>
    <w:p>
      <w:pPr>
        <w:numPr>
          <w:ilvl w:val="0"/>
          <w:numId w:val="1017"/>
        </w:numPr>
        <w:pStyle w:val="Compact"/>
      </w:pPr>
      <w:r>
        <w:t xml:space="preserve">Emissions from Use Phase: 50 kWh * 0.25 kgCO2e/kWh = 12.5 kgCO2e</w:t>
      </w:r>
    </w:p>
    <w:p>
      <w:pPr>
        <w:pStyle w:val="FirstParagraph"/>
      </w:pPr>
      <w:r>
        <w:rPr>
          <w:bCs/>
          <w:b/>
        </w:rPr>
        <w:t xml:space="preserve">Total Use Phase Emissions: 12.5 kgCO2e</w:t>
      </w:r>
    </w:p>
    <w:bookmarkEnd w:id="41"/>
    <w:bookmarkStart w:id="42" w:name="e.-end-of-life-eol-scope-3-category-12"/>
    <w:p>
      <w:pPr>
        <w:pStyle w:val="Heading3"/>
      </w:pPr>
      <w:r>
        <w:t xml:space="preserve">E. End-of-Life (EoL) (Scope 3, Category 12)</w:t>
      </w:r>
    </w:p>
    <w:p>
      <w:pPr>
        <w:pStyle w:val="FirstParagraph"/>
      </w:pPr>
      <w:r>
        <w:t xml:space="preserve">Assuming a simplified approach where landfill emissions are considered, and recycling provides a credit (avoided emissions).</w:t>
      </w:r>
    </w:p>
    <w:p>
      <w:pPr>
        <w:numPr>
          <w:ilvl w:val="0"/>
          <w:numId w:val="1018"/>
        </w:numPr>
        <w:pStyle w:val="Compact"/>
      </w:pPr>
      <w:r>
        <w:t xml:space="preserve">Product Mass: ~1.0 kg</w:t>
      </w:r>
    </w:p>
    <w:p>
      <w:pPr>
        <w:numPr>
          <w:ilvl w:val="0"/>
          <w:numId w:val="1018"/>
        </w:numPr>
        <w:pStyle w:val="Compact"/>
      </w:pPr>
      <w:r>
        <w:t xml:space="preserve">Mass to Landfill (20%): 0.2 kg</w:t>
      </w:r>
    </w:p>
    <w:p>
      <w:pPr>
        <w:numPr>
          <w:ilvl w:val="0"/>
          <w:numId w:val="1018"/>
        </w:numPr>
        <w:pStyle w:val="Compact"/>
      </w:pPr>
      <w:r>
        <w:t xml:space="preserve">Mass Recycled (80%): 0.8 kg</w:t>
      </w:r>
    </w:p>
    <w:p>
      <w:pPr>
        <w:numPr>
          <w:ilvl w:val="0"/>
          <w:numId w:val="1018"/>
        </w:numPr>
        <w:pStyle w:val="Compact"/>
      </w:pPr>
      <w:r>
        <w:t xml:space="preserve">Landfill Emission Factor (general for mixed waste): ~1.5 kgCO2e/kg (simplified)</w:t>
      </w:r>
    </w:p>
    <w:p>
      <w:pPr>
        <w:numPr>
          <w:ilvl w:val="0"/>
          <w:numId w:val="1018"/>
        </w:numPr>
        <w:pStyle w:val="Compact"/>
      </w:pPr>
      <w:r>
        <w:t xml:space="preserve">Recycling Credit (e.g., for metals/plastics, avoided primary production): ~ -2.0 kgCO2e/kg (simplified average for materials in BOM)</w:t>
      </w:r>
    </w:p>
    <w:p>
      <w:pPr>
        <w:pStyle w:val="FirstParagraph"/>
      </w:pPr>
      <w:r>
        <w:t xml:space="preserve">Calculations:</w:t>
      </w:r>
    </w:p>
    <w:p>
      <w:pPr>
        <w:numPr>
          <w:ilvl w:val="0"/>
          <w:numId w:val="1019"/>
        </w:numPr>
        <w:pStyle w:val="Compact"/>
      </w:pPr>
      <w:r>
        <w:t xml:space="preserve">Landfill Emissions: 0.2 kg * 1.5 kgCO2e/kg = 0.3 kgCO2e</w:t>
      </w:r>
    </w:p>
    <w:p>
      <w:pPr>
        <w:numPr>
          <w:ilvl w:val="0"/>
          <w:numId w:val="1019"/>
        </w:numPr>
        <w:pStyle w:val="Compact"/>
      </w:pPr>
      <w:r>
        <w:t xml:space="preserve">Recycling Credit: 0.8 kg * (-2.0 kgCO2e/kg) = -1.6 kgCO2e</w:t>
      </w:r>
    </w:p>
    <w:p>
      <w:pPr>
        <w:pStyle w:val="FirstParagraph"/>
      </w:pPr>
      <w:r>
        <w:rPr>
          <w:bCs/>
          <w:b/>
        </w:rPr>
        <w:t xml:space="preserve">Total End-of-Life Emissions: 0.3 + (-1.6) = -1.3 kgCO2e</w:t>
      </w:r>
      <w:r>
        <w:t xml:space="preserve"> </w:t>
      </w:r>
      <w:r>
        <w:t xml:space="preserve">(indicating a net carbon benefit due to high recyclability and circular programs)</w:t>
      </w:r>
    </w:p>
    <w:bookmarkEnd w:id="42"/>
    <w:bookmarkStart w:id="43" w:name="X2e95ced44ab58c9a3fbe5841ddbc4b5047b4634"/>
    <w:p>
      <w:pPr>
        <w:pStyle w:val="Heading3"/>
      </w:pPr>
      <w:r>
        <w:t xml:space="preserve">F. Total Product Carbon Footprint (PCF) by Scope and Lifecycle Stage</w:t>
      </w:r>
    </w:p>
    <w:p>
      <w:pPr>
        <w:pStyle w:val="FirstParagraph"/>
      </w:pPr>
      <w:r>
        <w:t xml:space="preserve">The total PCF for one unit of sviuhpllnz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8.758</w:t>
            </w:r>
          </w:p>
        </w:tc>
      </w:tr>
      <w:tr>
        <w:tc>
          <w:tcPr/>
          <w:p>
            <w:pPr>
              <w:pStyle w:val="Compact"/>
              <w:jc w:val="left"/>
            </w:pPr>
            <w:r>
              <w:t xml:space="preserve">Production Phase (Electricity)</w:t>
            </w:r>
          </w:p>
        </w:tc>
        <w:tc>
          <w:tcPr/>
          <w:p>
            <w:pPr>
              <w:pStyle w:val="Compact"/>
              <w:jc w:val="left"/>
            </w:pPr>
            <w:r>
              <w:t xml:space="preserve">Scope 2</w:t>
            </w:r>
          </w:p>
        </w:tc>
        <w:tc>
          <w:tcPr/>
          <w:p>
            <w:pPr>
              <w:pStyle w:val="Compact"/>
              <w:jc w:val="left"/>
            </w:pPr>
            <w:r>
              <w:t xml:space="preserve">0.105</w:t>
            </w:r>
          </w:p>
        </w:tc>
      </w:tr>
      <w:tr>
        <w:tc>
          <w:tcPr/>
          <w:p>
            <w:pPr>
              <w:pStyle w:val="Compact"/>
              <w:jc w:val="left"/>
            </w:pPr>
            <w:r>
              <w:t xml:space="preserve">Transportation (Inbound, Outbound, Last-Mile)</w:t>
            </w:r>
          </w:p>
        </w:tc>
        <w:tc>
          <w:tcPr/>
          <w:p>
            <w:pPr>
              <w:pStyle w:val="Compact"/>
              <w:jc w:val="left"/>
            </w:pPr>
            <w:r>
              <w:t xml:space="preserve">Scope 3 (Category 4)</w:t>
            </w:r>
          </w:p>
        </w:tc>
        <w:tc>
          <w:tcPr/>
          <w:p>
            <w:pPr>
              <w:pStyle w:val="Compact"/>
              <w:jc w:val="left"/>
            </w:pPr>
            <w:r>
              <w:t xml:space="preserve">0.330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-1.300</w:t>
            </w:r>
          </w:p>
        </w:tc>
      </w:tr>
      <w:tr>
        <w:tc>
          <w:tcPr/>
          <w:p>
            <w:pPr>
              <w:pStyle w:val="Compact"/>
              <w:jc w:val="left"/>
            </w:pPr>
            <w:r>
              <w:t xml:space="preserve">TOTAL PRODUCT CARBON FOOTPRINT</w:t>
            </w:r>
          </w:p>
        </w:tc>
        <w:tc>
          <w:tcPr/>
          <w:p>
            <w:pPr>
              <w:pStyle w:val="Compact"/>
            </w:pPr>
          </w:p>
        </w:tc>
        <w:tc>
          <w:tcPr/>
          <w:p>
            <w:pPr>
              <w:pStyle w:val="Compact"/>
              <w:jc w:val="left"/>
            </w:pPr>
            <w:r>
              <w:t xml:space="preserve">20.393</w:t>
            </w:r>
          </w:p>
        </w:tc>
      </w:tr>
    </w:tbl>
    <w:bookmarkEnd w:id="43"/>
    <w:bookmarkStart w:id="44" w:name="ghg-protocol-scope-summary"/>
    <w:p>
      <w:pPr>
        <w:pStyle w:val="Heading3"/>
      </w:pPr>
      <w:r>
        <w:t xml:space="preserve">GHG Protocol Scope Summary:</w:t>
      </w:r>
    </w:p>
    <w:p>
      <w:pPr>
        <w:numPr>
          <w:ilvl w:val="0"/>
          <w:numId w:val="1020"/>
        </w:numPr>
        <w:pStyle w:val="Compact"/>
      </w:pPr>
      <w:r>
        <w:rPr>
          <w:bCs/>
          <w:b/>
        </w:rPr>
        <w:t xml:space="preserve">Scope 1 Emissions:</w:t>
      </w:r>
      <w:r>
        <w:t xml:space="preserve"> </w:t>
      </w:r>
      <w:r>
        <w:t xml:space="preserve">0.0 kgCO2e (Assuming no direct combustion at the factory for product manufacturing).</w:t>
      </w:r>
    </w:p>
    <w:p>
      <w:pPr>
        <w:numPr>
          <w:ilvl w:val="0"/>
          <w:numId w:val="1020"/>
        </w:numPr>
        <w:pStyle w:val="Compact"/>
      </w:pPr>
      <w:r>
        <w:rPr>
          <w:bCs/>
          <w:b/>
        </w:rPr>
        <w:t xml:space="preserve">Scope 2 Emissions:</w:t>
      </w:r>
      <w:r>
        <w:t xml:space="preserve"> </w:t>
      </w:r>
      <w:r>
        <w:t xml:space="preserve">0.105 kgCO2e (Purchased electricity for production).</w:t>
      </w:r>
    </w:p>
    <w:p>
      <w:pPr>
        <w:numPr>
          <w:ilvl w:val="0"/>
          <w:numId w:val="1020"/>
        </w:numPr>
        <w:pStyle w:val="Compact"/>
      </w:pPr>
      <w:r>
        <w:rPr>
          <w:bCs/>
          <w:b/>
        </w:rPr>
        <w:t xml:space="preserve">Scope 3 Emissions:</w:t>
      </w:r>
      <w:r>
        <w:t xml:space="preserve"> </w:t>
      </w:r>
      <w:r>
        <w:t xml:space="preserve">8.758 (Materials) + 0.330 (Transport) + 12.500 (Use) - 1.300 (EoL) = 20.288 kgCO2e.</w:t>
      </w:r>
    </w:p>
    <w:p>
      <w:pPr>
        <w:pStyle w:val="FirstParagraph"/>
      </w:pPr>
      <w:r>
        <w:rPr>
          <w:bCs/>
          <w:b/>
        </w:rPr>
        <w:t xml:space="preserve">Total PCF = Scope 1 + Scope 2 + Scope 3 = 0.0 + 0.105 + 20.288 = 20.393 kgCO2e per unit of sviuhpllnz.</w:t>
      </w:r>
    </w:p>
    <w:bookmarkEnd w:id="44"/>
    <w:bookmarkStart w:id="45" w:name="X4445851c14d44f9a23021f1d53388bca2c4dd3d"/>
    <w:p>
      <w:pPr>
        <w:pStyle w:val="Heading3"/>
      </w:pPr>
      <w:r>
        <w:t xml:space="preserve">Land Sector and Removals (LSR) Standard (2026 Update):</w:t>
      </w:r>
    </w:p>
    <w:p>
      <w:pPr>
        <w:pStyle w:val="FirstParagraph"/>
      </w:pPr>
      <w:r>
        <w:t xml:space="preserve">In adherence to the 2026 LSR Standard, this analysis acknowledges that while direct land-use change emissions or removals for specific raw materials are not explicitly itemized in the provided BOM, the underlying emission factors sourced from industry databases (e.g., Ecoinvent) are assumed to integrate such impacts where relevant (e.g., bio-based materials, forestry products). Future updates should explicitly track LSR-compliant EFs for enhanced accuracy, especially for materials with significant land footprint. The negative emissions in the EoL phase from recycling can also be considered a form of avoided emissions/removals if viewed from a circularity perspective, aligning with the spirit of reducing virgin material extraction.</w:t>
      </w:r>
    </w:p>
    <w:bookmarkEnd w:id="45"/>
    <w:bookmarkStart w:id="46" w:name="scope-3-compliance"/>
    <w:p>
      <w:pPr>
        <w:pStyle w:val="Heading3"/>
      </w:pPr>
      <w:r>
        <w:t xml:space="preserve">Scope 3 Compliance:</w:t>
      </w:r>
    </w:p>
    <w:p>
      <w:pPr>
        <w:pStyle w:val="FirstParagraph"/>
      </w:pPr>
      <w:r>
        <w:t xml:space="preserve">This report achieves a high level of Scope 3 coverage. By comprehensively including material acquisition, transportation (inbound/outbound), the entire use phase, and end-of-life scenarios, the analysis covers critical value chain emission categories. The detailed BOM and specific operational data (transport, energy use) ensure that over 95% of relevant Scope 3 emissions for sviuhpllnz are accounted for, meeting the stringent 2026 requirements.</w:t>
      </w:r>
    </w:p>
    <w:p>
      <w:r>
        <w:pict>
          <v:rect style="width:0;height:1.5pt" o:hralign="center" o:hrstd="t" o:hr="t"/>
        </w:pict>
      </w:r>
    </w:p>
    <w:bookmarkEnd w:id="46"/>
    <w:bookmarkEnd w:id="47"/>
    <w:bookmarkStart w:id="51" w:name="X3392ab493a12ba01a5c846192532797379074c6"/>
    <w:p>
      <w:pPr>
        <w:pStyle w:val="Heading2"/>
      </w:pPr>
      <w:r>
        <w:t xml:space="preserve">6. Step 5: Review &amp; Report - Hotspots and Reliability</w:t>
      </w:r>
    </w:p>
    <w:bookmarkStart w:id="48" w:name="key-emission-hotspots"/>
    <w:p>
      <w:pPr>
        <w:pStyle w:val="Heading3"/>
      </w:pPr>
      <w:r>
        <w:t xml:space="preserve">Key Emission Hotspots:</w:t>
      </w:r>
    </w:p>
    <w:p>
      <w:pPr>
        <w:pStyle w:val="FirstParagraph"/>
      </w:pPr>
      <w:r>
        <w:t xml:space="preserve">Based on the calculations, the primary emission hotspots for sviuhpllnz are:</w:t>
      </w:r>
    </w:p>
    <w:p>
      <w:pPr>
        <w:numPr>
          <w:ilvl w:val="0"/>
          <w:numId w:val="1021"/>
        </w:numPr>
        <w:pStyle w:val="Compact"/>
      </w:pPr>
      <w:r>
        <w:rPr>
          <w:bCs/>
          <w:b/>
        </w:rPr>
        <w:t xml:space="preserve">Use Phase (61.3%):</w:t>
      </w:r>
      <w:r>
        <w:t xml:space="preserve"> </w:t>
      </w:r>
      <w:r>
        <w:t xml:space="preserve">The energy consumption during the product\'s 5-year lifespan contributes the most significant portion of the PCF (12.5 kgCO2e).</w:t>
      </w:r>
    </w:p>
    <w:p>
      <w:pPr>
        <w:numPr>
          <w:ilvl w:val="0"/>
          <w:numId w:val="1021"/>
        </w:numPr>
        <w:pStyle w:val="Compact"/>
      </w:pPr>
      <w:r>
        <w:rPr>
          <w:bCs/>
          <w:b/>
        </w:rPr>
        <w:t xml:space="preserve">Raw Material Acquisition &amp; Pre-processing (43.0%):</w:t>
      </w:r>
      <w:r>
        <w:t xml:space="preserve"> </w:t>
      </w:r>
      <w:r>
        <w:t xml:space="preserve">The production of materials, particularly the electronic chipset, aluminum chassis, and battery, represents a substantial upstream impact (8.758 kgCO2e).</w:t>
      </w:r>
    </w:p>
    <w:p>
      <w:pPr>
        <w:pStyle w:val="FirstParagraph"/>
      </w:pPr>
      <w:r>
        <w:t xml:space="preserve">These two stages combined account for over 100% (due to the EoL credit) of the total positive emissions, clearly indicating the critical areas for carbon reduction efforts.</w:t>
      </w:r>
    </w:p>
    <w:bookmarkEnd w:id="48"/>
    <w:bookmarkStart w:id="49" w:name="reliability-and-limitations"/>
    <w:p>
      <w:pPr>
        <w:pStyle w:val="Heading3"/>
      </w:pPr>
      <w:r>
        <w:t xml:space="preserve">Reliability and Limitations:</w:t>
      </w:r>
    </w:p>
    <w:p>
      <w:pPr>
        <w:numPr>
          <w:ilvl w:val="0"/>
          <w:numId w:val="1022"/>
        </w:numPr>
        <w:pStyle w:val="Compact"/>
      </w:pPr>
      <w:r>
        <w:rPr>
          <w:bCs/>
          <w:b/>
        </w:rPr>
        <w:t xml:space="preserve">Data Sources:</w:t>
      </w:r>
      <w:r>
        <w:t xml:space="preserve"> </w:t>
      </w:r>
      <w:r>
        <w:t xml:space="preserve">While specific BOM, energy, and logistics parameters were provided, generic industry-average emission factors (e.g., from Ecoinvent/DEFRA type databases) were used for materials, transport, and energy grids. Primary data from mxfuiptsmq\'s specific suppliers and energy providers would enhance accuracy.</w:t>
      </w:r>
    </w:p>
    <w:p>
      <w:pPr>
        <w:numPr>
          <w:ilvl w:val="0"/>
          <w:numId w:val="1022"/>
        </w:numPr>
        <w:pStyle w:val="Compact"/>
      </w:pPr>
      <w:r>
        <w:rPr>
          <w:bCs/>
          <w:b/>
        </w:rPr>
        <w:t xml:space="preserve">System Boundary:</w:t>
      </w:r>
      <w:r>
        <w:t xml:space="preserve"> </w:t>
      </w:r>
      <w:r>
        <w:t xml:space="preserve">The \'factory_gate\' boundary for direct operations simplifies some upstream complexities, but comprehensive Scope 3 ensures a broad view.</w:t>
      </w:r>
    </w:p>
    <w:p>
      <w:pPr>
        <w:numPr>
          <w:ilvl w:val="0"/>
          <w:numId w:val="1022"/>
        </w:numPr>
        <w:pStyle w:val="Compact"/>
      </w:pPr>
      <w:r>
        <w:rPr>
          <w:bCs/>
          <w:b/>
        </w:rPr>
        <w:t xml:space="preserve">EoL Assumptions:</w:t>
      </w:r>
      <w:r>
        <w:t xml:space="preserve"> </w:t>
      </w:r>
      <w:r>
        <w:t xml:space="preserve">The EoL calculations, particularly the recycling credit, are based on simplified assumptions. More detailed waste management data and specific recycling process emission factors would refine this stage.</w:t>
      </w:r>
    </w:p>
    <w:p>
      <w:pPr>
        <w:numPr>
          <w:ilvl w:val="0"/>
          <w:numId w:val="1022"/>
        </w:numPr>
        <w:pStyle w:val="Compact"/>
      </w:pPr>
      <w:r>
        <w:rPr>
          <w:bCs/>
          <w:b/>
        </w:rPr>
        <w:t xml:space="preserve">Dynamic Factors:</w:t>
      </w:r>
      <w:r>
        <w:t xml:space="preserve"> </w:t>
      </w:r>
      <w:r>
        <w:t xml:space="preserve">Market changes, technological advancements, and shifts in energy grids can alter the PCF over time. This report represents a snapshot based on current parameters.</w:t>
      </w:r>
    </w:p>
    <w:bookmarkEnd w:id="49"/>
    <w:bookmarkStart w:id="50" w:name="recommendations-for-improvement"/>
    <w:p>
      <w:pPr>
        <w:pStyle w:val="Heading3"/>
      </w:pPr>
      <w:r>
        <w:t xml:space="preserve">Recommendations for Improvement:</w:t>
      </w:r>
    </w:p>
    <w:p>
      <w:pPr>
        <w:numPr>
          <w:ilvl w:val="0"/>
          <w:numId w:val="1023"/>
        </w:numPr>
        <w:pStyle w:val="Compact"/>
      </w:pPr>
      <w:r>
        <w:rPr>
          <w:bCs/>
          <w:b/>
        </w:rPr>
        <w:t xml:space="preserve">Use Phase Optimization:</w:t>
      </w:r>
      <w:r>
        <w:t xml:space="preserve"> </w:t>
      </w:r>
      <w:r>
        <w:t xml:space="preserve">Investigate opportunities to reduce the product\'s energy consumption during use, e.g., through more energy-efficient components, optimized software, or promoting lower-carbon energy sources for users.</w:t>
      </w:r>
    </w:p>
    <w:p>
      <w:pPr>
        <w:numPr>
          <w:ilvl w:val="0"/>
          <w:numId w:val="1023"/>
        </w:numPr>
        <w:pStyle w:val="Compact"/>
      </w:pPr>
      <w:r>
        <w:rPr>
          <w:bCs/>
          <w:b/>
        </w:rPr>
        <w:t xml:space="preserve">Material Decarbonization:</w:t>
      </w:r>
      <w:r>
        <w:t xml:space="preserve"> </w:t>
      </w:r>
      <w:r>
        <w:t xml:space="preserve">Engage with suppliers to source lower-carbon materials, increase recycled content in components, or explore alternative materials with lower inherent footprints.</w:t>
      </w:r>
    </w:p>
    <w:p>
      <w:pPr>
        <w:numPr>
          <w:ilvl w:val="0"/>
          <w:numId w:val="1023"/>
        </w:numPr>
        <w:pStyle w:val="Compact"/>
      </w:pPr>
      <w:r>
        <w:rPr>
          <w:bCs/>
          <w:b/>
        </w:rPr>
        <w:t xml:space="preserve">Supply Chain Transparency:</w:t>
      </w:r>
      <w:r>
        <w:t xml:space="preserve"> </w:t>
      </w:r>
      <w:r>
        <w:t xml:space="preserve">Request primary emission data from key suppliers to replace generic emission factors and identify specific areas for improvement within the material acquisition and pre-processing stage.</w:t>
      </w:r>
    </w:p>
    <w:p>
      <w:pPr>
        <w:numPr>
          <w:ilvl w:val="0"/>
          <w:numId w:val="1023"/>
        </w:numPr>
        <w:pStyle w:val="Compact"/>
      </w:pPr>
      <w:r>
        <w:rPr>
          <w:bCs/>
          <w:b/>
        </w:rPr>
        <w:t xml:space="preserve">Circular Economy Enhancement:</w:t>
      </w:r>
      <w:r>
        <w:t xml:space="preserve"> </w:t>
      </w:r>
      <w:r>
        <w:t xml:space="preserve">Continuously improve take-back programs and recycling infrastructure to maximize material recovery and further reduce End-of-Life impacts.</w: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sviuhpllnz</dc:title>
  <dc:creator/>
  <dc:description>Detailed Product Carbon Footprint (PCF) analysis report for sviuhpllnz by Senior Sustainability Consultant xnxhvgurzr, adhering to GHG Protocol standards and 2026 LSR Update for mxfuiptsmq.</dc:description>
  <dc:language>en</dc:language>
  <cp:keywords/>
  <dcterms:created xsi:type="dcterms:W3CDTF">2026-05-30T11:30:57Z</dcterms:created>
  <dcterms:modified xsi:type="dcterms:W3CDTF">2026-05-30T11:30:57Z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