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suxeomyhou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suxeomyhou</w:t>
      </w:r>
    </w:p>
    <w:p>
      <w:pPr>
        <w:pStyle w:val="BodyText"/>
      </w:pPr>
      <w:r>
        <w:rPr>
          <w:bCs/>
          <w:b/>
        </w:rPr>
        <w:t xml:space="preserve">Company:</w:t>
      </w:r>
      <w:r>
        <w:t xml:space="preserve"> </w:t>
      </w:r>
      <w:r>
        <w:t xml:space="preserve">qvmfwqotjs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fnirrekmjr</w:t>
      </w:r>
    </w:p>
    <w:p>
      <w:pPr>
        <w:pStyle w:val="BodyText"/>
      </w:pPr>
      <w:r>
        <w:t xml:space="preserve">Disclaimer: This report is generated based on available data and industry standards, providing an estimate of the Product Carbon Footprint. Accuracy is dependent on the quality and completeness of provided input parameters and publicly available emission factors.</w:t>
      </w:r>
    </w:p>
    <w:bookmarkEnd w:id="20"/>
    <w:p>
      <w:pPr>
        <w:pStyle w:val="BodyText"/>
      </w:pPr>
      <w:r>
        <w:t xml:space="preserve">Generated Date: May 26, 2026</w:t>
      </w:r>
    </w:p>
    <w:bookmarkStart w:id="47" w:name="X43f49db21589d37a2f7a24320dec2995da4d347"/>
    <w:p>
      <w:pPr>
        <w:pStyle w:val="Heading1"/>
      </w:pPr>
      <w:r>
        <w:t xml:space="preserve">Product Carbon Footprint Analysis for suxeomyhou</w:t>
      </w:r>
    </w:p>
    <w:p>
      <w:pPr>
        <w:pStyle w:val="FirstParagraph"/>
      </w:pPr>
      <w:r>
        <w:rPr>
          <w:bCs/>
          <w:b/>
        </w:rPr>
        <w:t xml:space="preserve">Prepared for:</w:t>
      </w:r>
      <w:r>
        <w:t xml:space="preserve"> </w:t>
      </w:r>
      <w:r>
        <w:t xml:space="preserve">qvmfwqotjs</w:t>
      </w:r>
    </w:p>
    <w:p>
      <w:pPr>
        <w:pStyle w:val="BodyText"/>
      </w:pPr>
      <w:r>
        <w:rPr>
          <w:bCs/>
          <w:b/>
        </w:rPr>
        <w:t xml:space="preserve">Prepared by:</w:t>
      </w:r>
      <w:r>
        <w:t xml:space="preserve"> </w:t>
      </w:r>
      <w:r>
        <w:t xml:space="preserve">fnirrekmjr,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suxeomyhou</w:t>
      </w:r>
      <w:r>
        <w:t xml:space="preserve">, manufactured by</w:t>
      </w:r>
      <w:r>
        <w:t xml:space="preserve"> </w:t>
      </w:r>
      <w:r>
        <w:rPr>
          <w:bCs/>
          <w:b/>
        </w:rPr>
        <w:t xml:space="preserve">qvmfwqotjs</w:t>
      </w:r>
      <w:r>
        <w:t xml:space="preserve">. The analysis adheres strictly to the GHG Protocol accounting standard, incorporating the latest 2026 Land Sector and Removals (LSR) Standard updates and ensuring comprehensive Scope 3 coverage. The PCF quantifies greenhouse gas (GHG) emissions across the product\'s lifecycle, from raw material extraction to end-of-life, providing critical insights into environmental hotspots and opportunities for reduction.</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for suxeomyhou has been conducted following the five-step methodology recommended by the GHG Protocol. This comprehensive approach ensures systematic and accurate quantification of emissions across the product lifecycle.</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 suxeomyhou.</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set at</w:t>
      </w:r>
      <w:r>
        <w:t xml:space="preserve"> </w:t>
      </w:r>
      <w:r>
        <w:rPr>
          <w:bCs/>
          <w:b/>
        </w:rPr>
        <w:t xml:space="preserve">factory_gate</w:t>
      </w:r>
      <w:r>
        <w:t xml:space="preserve">. This encompasses emissions from raw material acquisition, manufacturing processes, and primary transportation up to the point of the product leaving the factory gate. However, as per the report requirements, downstream activities such as the use phase and end-of-life have also been included for a more holistic view of the product\'s lifecycle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dictates the application of specific regional emission factors for production (China) and the use phase (Europe), reflecting the product\'s journey and consumption environment.</w:t>
      </w:r>
    </w:p>
    <w:bookmarkEnd w:id="24"/>
    <w:bookmarkStart w:id="25" w:name="accounting-standard"/>
    <w:p>
      <w:pPr>
        <w:pStyle w:val="Heading3"/>
      </w:pPr>
      <w:r>
        <w:t xml:space="preserve">1.4. Accounting Standard</w:t>
      </w:r>
    </w:p>
    <w:p>
      <w:pPr>
        <w:numPr>
          <w:ilvl w:val="0"/>
          <w:numId w:val="1004"/>
        </w:numPr>
        <w:pStyle w:val="Compact"/>
      </w:pPr>
      <w:r>
        <w:t xml:space="preserve">This PCF analysis is in full compliance with the</w:t>
      </w:r>
      <w:r>
        <w:t xml:space="preserve"> </w:t>
      </w:r>
      <w:r>
        <w:rPr>
          <w:bCs/>
          <w:b/>
        </w:rPr>
        <w:t xml:space="preserve">GHG Protocol</w:t>
      </w:r>
      <w:r>
        <w:t xml:space="preserve"> </w:t>
      </w:r>
      <w:r>
        <w:t xml:space="preserve">standards for product lifecycle assessment. Emissions are categorized into Scope 1 (direct emissions), Scope 2 (purchased electricity), and Scope 3 (all other indirect emissions across the value chain). Furthermore, this report applies the principles of the</w:t>
      </w:r>
      <w:r>
        <w:t xml:space="preserve"> </w:t>
      </w:r>
      <w:r>
        <w:rPr>
          <w:bCs/>
          <w:b/>
        </w:rPr>
        <w:t xml:space="preserve">2026 Land Sector and Removals (LSR) Standard</w:t>
      </w:r>
      <w:r>
        <w:t xml:space="preserve"> </w:t>
      </w:r>
      <w:r>
        <w:t xml:space="preserve">for relevant land use and carbon removal considerations, and ensures at least 95% coverage for Scope 3 reporting, as per 2026 requirements.</w:t>
      </w:r>
    </w:p>
    <w:p>
      <w:r>
        <w:pict>
          <v:rect style="width:0;height:1.5pt" o:hralign="center" o:hrstd="t" o:hr="t"/>
        </w:pict>
      </w:r>
    </w:p>
    <w:bookmarkEnd w:id="25"/>
    <w:bookmarkEnd w:id="26"/>
    <w:bookmarkStart w:id="32" w:name="lifecycle-mapping-and-data-collection"/>
    <w:p>
      <w:pPr>
        <w:pStyle w:val="Heading2"/>
      </w:pPr>
      <w:r>
        <w:t xml:space="preserve">2. Lifecycle Mapping and Data Collection</w:t>
      </w:r>
    </w:p>
    <w:p>
      <w:pPr>
        <w:pStyle w:val="FirstParagraph"/>
      </w:pPr>
      <w:r>
        <w:t xml:space="preserve">The lifecycle of suxeomyhou has been mapped to identify all relevant stages contributing to its carbon footprint. Data was collected using a combination of primary (provided parameters) and secondary (industry-standard emission factors) sources.</w:t>
      </w:r>
    </w:p>
    <w:bookmarkStart w:id="27" w:name="X03009c137a43313aa2402a234267084e196d2e6"/>
    <w:p>
      <w:pPr>
        <w:pStyle w:val="Heading3"/>
      </w:pPr>
      <w:r>
        <w:t xml:space="preserve">2.1. Detailed Bill of Materials (BOM) - Upstream Emissions (Scope 3, Category 1)</w:t>
      </w:r>
    </w:p>
    <w:p>
      <w:pPr>
        <w:pStyle w:val="FirstParagraph"/>
      </w:pPr>
      <w:r>
        <w:t xml:space="preserve">The following detailed Bill of Materials (BOM) for suxeomyhou was provided, and the \'Total Carbon\' values are used directly for material impact calculation, representing cradle-to-gate emissions for each component.</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0.15 kg</w:t>
            </w:r>
          </w:p>
        </w:tc>
        <w:tc>
          <w:tcPr/>
          <w:p>
            <w:pPr>
              <w:pStyle w:val="Compact"/>
              <w:jc w:val="left"/>
            </w:pPr>
            <w:r>
              <w:t xml:space="preserve">1.0</w:t>
            </w:r>
          </w:p>
        </w:tc>
        <w:tc>
          <w:tcPr/>
          <w:p>
            <w:pPr>
              <w:pStyle w:val="Compact"/>
              <w:jc w:val="left"/>
            </w:pPr>
            <w:r>
              <w:t xml:space="preserve">0.15</w:t>
            </w:r>
          </w:p>
        </w:tc>
      </w:tr>
      <w:tr>
        <w:tc>
          <w:tcPr>
            <w:gridSpan w:val="6"/>
          </w:tcPr>
          <w:p>
            <w:pPr>
              <w:pStyle w:val="Compact"/>
              <w:jc w:val="right"/>
            </w:pPr>
            <w:r>
              <w:rPr>
                <w:bCs/>
                <w:b/>
              </w:rPr>
              <w:t xml:space="preserve">Total Material Emissions:</w:t>
            </w:r>
          </w:p>
        </w:tc>
        <w:tc>
          <w:tcPr/>
          <w:p>
            <w:pPr>
              <w:pStyle w:val="Compact"/>
              <w:jc w:val="left"/>
            </w:pPr>
            <w:r>
              <w:rPr>
                <w:bCs/>
                <w:b/>
              </w:rPr>
              <w:t xml:space="preserve">6.25 kg CO2e</w:t>
            </w:r>
          </w:p>
        </w:tc>
      </w:tr>
    </w:tbl>
    <w:p>
      <w:pPr>
        <w:pStyle w:val="BodyText"/>
      </w:pPr>
      <w:r>
        <w:t xml:space="preserve">The total weight of the product (based on BOM quantities) is 0.5 + 0.2 + 0.1 + 0.05 + 0.15 = 1.0 kg.</w:t>
      </w:r>
    </w:p>
    <w:bookmarkEnd w:id="27"/>
    <w:bookmarkStart w:id="28" w:name="production-phase---energy-inputs-scope-2"/>
    <w:p>
      <w:pPr>
        <w:pStyle w:val="Heading3"/>
      </w:pPr>
      <w:r>
        <w:t xml:space="preserve">2.2. Production Phase - Energy Inputs (Scope 2)</w:t>
      </w:r>
    </w:p>
    <w:p>
      <w:pPr>
        <w:numPr>
          <w:ilvl w:val="0"/>
          <w:numId w:val="1005"/>
        </w:numPr>
        <w:pStyle w:val="Compact"/>
      </w:pPr>
      <w:r>
        <w:rPr>
          <w:bCs/>
          <w:b/>
        </w:rPr>
        <w:t xml:space="preserve">Energy Intensity (per unit):</w:t>
      </w:r>
      <w:r>
        <w:t xml:space="preserve"> </w:t>
      </w:r>
      <w:r>
        <w:t xml:space="preserve">10 kWh/unit</w:t>
      </w:r>
    </w:p>
    <w:p>
      <w:pPr>
        <w:numPr>
          <w:ilvl w:val="0"/>
          <w:numId w:val="1005"/>
        </w:numPr>
        <w:pStyle w:val="Compact"/>
      </w:pPr>
      <w:r>
        <w:rPr>
          <w:bCs/>
          <w:b/>
        </w:rPr>
        <w:t xml:space="preserve">Renewable Energy Usage:</w:t>
      </w:r>
      <w:r>
        <w:t xml:space="preserve"> </w:t>
      </w:r>
      <w:r>
        <w:t xml:space="preserve">75%</w:t>
      </w:r>
    </w:p>
    <w:p>
      <w:pPr>
        <w:numPr>
          <w:ilvl w:val="0"/>
          <w:numId w:val="1005"/>
        </w:numPr>
        <w:pStyle w:val="Compact"/>
      </w:pPr>
      <w:r>
        <w:rPr>
          <w:bCs/>
          <w:b/>
        </w:rPr>
        <w:t xml:space="preserve">Geographic Location:</w:t>
      </w:r>
      <w:r>
        <w:t xml:space="preserve"> </w:t>
      </w:r>
      <w:r>
        <w:t xml:space="preserve">China</w:t>
      </w:r>
    </w:p>
    <w:p>
      <w:pPr>
        <w:pStyle w:val="FirstParagraph"/>
      </w:pPr>
      <w:r>
        <w:t xml:space="preserve">The non-renewable electricity consumed during production is calculated as: 10 kWh/unit * (1 - 75/100) = 2.5 kWh/unit. The emission factor for electricity in China is estimated at 0.57 kg CO2e/kWh.</w:t>
      </w:r>
    </w:p>
    <w:bookmarkEnd w:id="28"/>
    <w:bookmarkStart w:id="29" w:name="Xc7622f5513223fc279ba8e36879fd009a841ffc"/>
    <w:p>
      <w:pPr>
        <w:pStyle w:val="Heading3"/>
      </w:pPr>
      <w:r>
        <w:t xml:space="preserve">2.3. Transport Logistics (Scope 3, Category 4 - Upstream; Category 9 - Downstream)</w:t>
      </w:r>
    </w:p>
    <w:p>
      <w:pPr>
        <w:numPr>
          <w:ilvl w:val="0"/>
          <w:numId w:val="1006"/>
        </w:numPr>
        <w:pStyle w:val="Compact"/>
      </w:pPr>
      <w:r>
        <w:rPr>
          <w:bCs/>
          <w:b/>
        </w:rPr>
        <w:t xml:space="preserve">Transport Mode (Primary):</w:t>
      </w:r>
      <w:r>
        <w:t xml:space="preserve"> </w:t>
      </w:r>
      <w:r>
        <w:t xml:space="preserve">Road Freight (Heavy Goods Vehicle)</w:t>
      </w:r>
    </w:p>
    <w:p>
      <w:pPr>
        <w:numPr>
          <w:ilvl w:val="0"/>
          <w:numId w:val="1006"/>
        </w:numPr>
        <w:pStyle w:val="Compact"/>
      </w:pPr>
      <w:r>
        <w:rPr>
          <w:bCs/>
          <w:b/>
        </w:rPr>
        <w:t xml:space="preserve">Transport Distance:</w:t>
      </w:r>
      <w:r>
        <w:t xml:space="preserve"> </w:t>
      </w:r>
      <w:r>
        <w:t xml:space="preserve">500 km</w:t>
      </w:r>
    </w:p>
    <w:p>
      <w:pPr>
        <w:numPr>
          <w:ilvl w:val="0"/>
          <w:numId w:val="1006"/>
        </w:numPr>
        <w:pStyle w:val="Compact"/>
      </w:pPr>
      <w:r>
        <w:rPr>
          <w:bCs/>
          <w:b/>
        </w:rPr>
        <w:t xml:space="preserve">Last-Mile Delivery Channel:</w:t>
      </w:r>
      <w:r>
        <w:t xml:space="preserve"> </w:t>
      </w:r>
      <w:r>
        <w:t xml:space="preserve">Local Courier Van</w:t>
      </w:r>
    </w:p>
    <w:p>
      <w:pPr>
        <w:pStyle w:val="FirstParagraph"/>
      </w:pPr>
      <w:r>
        <w:t xml:space="preserve">Emission factor for Road Freight (HGV): 0.10 kg CO2e/tonne-km.</w:t>
      </w:r>
      <w:r>
        <w:br/>
      </w:r>
      <w:r>
        <w:t xml:space="preserve">Emission factor for Local Courier Van (last mile): 0.20 kg CO2e/km (per vehicle-km, allocated to product).</w:t>
      </w:r>
    </w:p>
    <w:bookmarkEnd w:id="29"/>
    <w:bookmarkStart w:id="30" w:name="X8d77262b8e8cbe84648e76f3d970043dec1eed6"/>
    <w:p>
      <w:pPr>
        <w:pStyle w:val="Heading3"/>
      </w:pPr>
      <w:r>
        <w:t xml:space="preserve">2.4. Use Phase (Scope 3, Category 11 - Downstream)</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 (total over lifespan):</w:t>
      </w:r>
      <w:r>
        <w:t xml:space="preserve"> </w:t>
      </w:r>
      <w:r>
        <w:t xml:space="preserve">50 kWh</w:t>
      </w:r>
    </w:p>
    <w:p>
      <w:pPr>
        <w:numPr>
          <w:ilvl w:val="0"/>
          <w:numId w:val="1007"/>
        </w:numPr>
        <w:pStyle w:val="Compact"/>
      </w:pPr>
      <w:r>
        <w:rPr>
          <w:bCs/>
          <w:b/>
        </w:rPr>
        <w:t xml:space="preserve">Geographic Scope for Use Phase:</w:t>
      </w:r>
      <w:r>
        <w:t xml:space="preserve"> </w:t>
      </w:r>
      <w:r>
        <w:t xml:space="preserve">Europe Focused</w:t>
      </w:r>
    </w:p>
    <w:p>
      <w:pPr>
        <w:pStyle w:val="FirstParagraph"/>
      </w:pPr>
      <w:r>
        <w:t xml:space="preserve">The emission factor for electricity in Europe (average grid mix) is estimated at 0.25 kg CO2e/kWh.</w:t>
      </w:r>
    </w:p>
    <w:bookmarkEnd w:id="30"/>
    <w:bookmarkStart w:id="31" w:name="X917fcf0d913326beb30c2443d83f031fdcb04c3"/>
    <w:p>
      <w:pPr>
        <w:pStyle w:val="Heading3"/>
      </w:pPr>
      <w:r>
        <w:t xml:space="preserve">2.5. End-of-Life (EoL) Scenarios (Scope 3, Category 12 - Downstream)</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Active take-back and refurbishment program in key European markets.</w:t>
      </w:r>
    </w:p>
    <w:p>
      <w:pPr>
        <w:pStyle w:val="FirstParagraph"/>
      </w:pPr>
      <w:r>
        <w:t xml:space="preserve">The non-recycled portion of the product (1.0 kg) goes to landfill. Emission factor for landfill (mixed waste): 0.15 kg CO2e/kg (estimate).</w:t>
      </w:r>
    </w:p>
    <w:p>
      <w:r>
        <w:pict>
          <v:rect style="width:0;height:1.5pt" o:hralign="center" o:hrstd="t" o:hr="t"/>
        </w:pict>
      </w:r>
    </w:p>
    <w:bookmarkEnd w:id="31"/>
    <w:bookmarkEnd w:id="32"/>
    <w:bookmarkStart w:id="41" w:name="Xdd1c2ba429305467bad58a0828410d9d0fce25c"/>
    <w:p>
      <w:pPr>
        <w:pStyle w:val="Heading2"/>
      </w:pPr>
      <w:r>
        <w:t xml:space="preserve">3. Emissions Calculation (Activity * Emission Factor = CO2e)</w:t>
      </w:r>
    </w:p>
    <w:p>
      <w:pPr>
        <w:pStyle w:val="FirstParagraph"/>
      </w:pPr>
      <w:r>
        <w:t xml:space="preserve">The following section details the calculated emissions for each lifecycle stage of suxeomyhou.</w:t>
      </w:r>
    </w:p>
    <w:bookmarkStart w:id="33" w:name="X34585cd0106ff2d2411925fdfec1742b9341d25"/>
    <w:p>
      <w:pPr>
        <w:pStyle w:val="Heading3"/>
      </w:pPr>
      <w:r>
        <w:t xml:space="preserve">3.1. Raw Material Acquisition and Processing (Scope 3, Category 1)</w:t>
      </w:r>
    </w:p>
    <w:p>
      <w:pPr>
        <w:pStyle w:val="FirstParagraph"/>
      </w:pPr>
      <w:r>
        <w:t xml:space="preserve">As per the provided BOM, the \'Total Carbon\' for each material directly accounts for its embodied emissions.</w:t>
      </w:r>
    </w:p>
    <w:p>
      <w:pPr>
        <w:numPr>
          <w:ilvl w:val="0"/>
          <w:numId w:val="1009"/>
        </w:numPr>
        <w:pStyle w:val="Compact"/>
      </w:pPr>
      <w:r>
        <w:rPr>
          <w:bCs/>
          <w:b/>
        </w:rPr>
        <w:t xml:space="preserve">Total Material Emissions:</w:t>
      </w:r>
      <w:r>
        <w:t xml:space="preserve"> </w:t>
      </w:r>
      <w:r>
        <w:t xml:space="preserve">6.25 kg CO2e</w:t>
      </w:r>
    </w:p>
    <w:bookmarkEnd w:id="33"/>
    <w:bookmarkStart w:id="35" w:name="production-phase-scope-2-scope-3"/>
    <w:p>
      <w:pPr>
        <w:pStyle w:val="Heading3"/>
      </w:pPr>
      <w:r>
        <w:t xml:space="preserve">3.2. Production Phase (Scope 2 &amp; Scope 3)</w:t>
      </w:r>
    </w:p>
    <w:bookmarkStart w:id="34" w:name="purchased-electricity-scope-2"/>
    <w:p>
      <w:pPr>
        <w:pStyle w:val="Heading4"/>
      </w:pPr>
      <w:r>
        <w:t xml:space="preserve">3.2.1. Purchased Electricity (Scope 2)</w:t>
      </w:r>
    </w:p>
    <w:p>
      <w:pPr>
        <w:numPr>
          <w:ilvl w:val="0"/>
          <w:numId w:val="1010"/>
        </w:numPr>
        <w:pStyle w:val="Compact"/>
      </w:pPr>
      <w:r>
        <w:t xml:space="preserve">Non-renewable electricity consumed: 2.5 kWh/unit</w:t>
      </w:r>
    </w:p>
    <w:p>
      <w:pPr>
        <w:numPr>
          <w:ilvl w:val="0"/>
          <w:numId w:val="1010"/>
        </w:numPr>
        <w:pStyle w:val="Compact"/>
      </w:pPr>
      <w:r>
        <w:t xml:space="preserve">China Grid Emission Factor: 0.57 kg CO2e/kWh</w:t>
      </w:r>
    </w:p>
    <w:p>
      <w:pPr>
        <w:numPr>
          <w:ilvl w:val="0"/>
          <w:numId w:val="1010"/>
        </w:numPr>
        <w:pStyle w:val="Compact"/>
      </w:pPr>
      <w:r>
        <w:rPr>
          <w:bCs/>
          <w:b/>
        </w:rPr>
        <w:t xml:space="preserve">Production Electricity Emissions:</w:t>
      </w:r>
      <w:r>
        <w:t xml:space="preserve"> </w:t>
      </w:r>
      <w:r>
        <w:t xml:space="preserve">2.5 kWh * 0.57 kg CO2e/kWh =</w:t>
      </w:r>
      <w:r>
        <w:t xml:space="preserve"> </w:t>
      </w:r>
      <w:r>
        <w:rPr>
          <w:bCs/>
          <w:b/>
        </w:rPr>
        <w:t xml:space="preserve">1.425 kg CO2e</w:t>
      </w:r>
    </w:p>
    <w:p>
      <w:pPr>
        <w:pStyle w:val="FirstParagraph"/>
      </w:pPr>
      <w:r>
        <w:rPr>
          <w:iCs/>
          <w:i/>
        </w:rPr>
        <w:t xml:space="preserve">Note: Direct emissions (Scope 1) from owned or controlled sources at the factory are assumed to be negligible or covered within the "Process" emissions factors of the BOM if applicable, as no specific data was provided for these.</w:t>
      </w:r>
    </w:p>
    <w:bookmarkEnd w:id="34"/>
    <w:bookmarkEnd w:id="35"/>
    <w:bookmarkStart w:id="38" w:name="X828618318b795aac74d3a0d15e0597edddc2303"/>
    <w:p>
      <w:pPr>
        <w:pStyle w:val="Heading3"/>
      </w:pPr>
      <w:r>
        <w:t xml:space="preserve">3.3. Transportation and Distribution (Scope 3, Categories 4 &amp; 9)</w:t>
      </w:r>
    </w:p>
    <w:p>
      <w:pPr>
        <w:pStyle w:val="FirstParagraph"/>
      </w:pPr>
      <w:r>
        <w:t xml:space="preserve">Assuming product weight for transport is 1.0 kg (0.001 tonne).</w:t>
      </w:r>
    </w:p>
    <w:bookmarkStart w:id="36" w:name="upstream-transport-primary-transport"/>
    <w:p>
      <w:pPr>
        <w:pStyle w:val="Heading4"/>
      </w:pPr>
      <w:r>
        <w:t xml:space="preserve">3.3.1. Upstream Transport (Primary Transport)</w:t>
      </w:r>
    </w:p>
    <w:p>
      <w:pPr>
        <w:numPr>
          <w:ilvl w:val="0"/>
          <w:numId w:val="1011"/>
        </w:numPr>
        <w:pStyle w:val="Compact"/>
      </w:pPr>
      <w:r>
        <w:t xml:space="preserve">Mode: Road Freight (Heavy Goods Vehicle)</w:t>
      </w:r>
    </w:p>
    <w:p>
      <w:pPr>
        <w:numPr>
          <w:ilvl w:val="0"/>
          <w:numId w:val="1011"/>
        </w:numPr>
        <w:pStyle w:val="Compact"/>
      </w:pPr>
      <w:r>
        <w:t xml:space="preserve">Distance: 500 km</w:t>
      </w:r>
    </w:p>
    <w:p>
      <w:pPr>
        <w:numPr>
          <w:ilvl w:val="0"/>
          <w:numId w:val="1011"/>
        </w:numPr>
        <w:pStyle w:val="Compact"/>
      </w:pPr>
      <w:r>
        <w:t xml:space="preserve">Emission Factor: 0.10 kg CO2e/tonne-km</w:t>
      </w:r>
    </w:p>
    <w:p>
      <w:pPr>
        <w:numPr>
          <w:ilvl w:val="0"/>
          <w:numId w:val="1011"/>
        </w:numPr>
        <w:pStyle w:val="Compact"/>
      </w:pPr>
      <w:r>
        <w:rPr>
          <w:bCs/>
          <w:b/>
        </w:rPr>
        <w:t xml:space="preserve">Primary Transport Emissions:</w:t>
      </w:r>
      <w:r>
        <w:t xml:space="preserve"> </w:t>
      </w:r>
      <w:r>
        <w:t xml:space="preserve">500 km * 0.001 tonne * 0.10 kg CO2e/tonne-km =</w:t>
      </w:r>
      <w:r>
        <w:t xml:space="preserve"> </w:t>
      </w:r>
      <w:r>
        <w:rPr>
          <w:bCs/>
          <w:b/>
        </w:rPr>
        <w:t xml:space="preserve">0.05 kg CO2e</w:t>
      </w:r>
    </w:p>
    <w:bookmarkEnd w:id="36"/>
    <w:bookmarkStart w:id="37" w:name="downstream-transport-last-mile-delivery"/>
    <w:p>
      <w:pPr>
        <w:pStyle w:val="Heading4"/>
      </w:pPr>
      <w:r>
        <w:t xml:space="preserve">3.3.2. Downstream Transport (Last-Mile Delivery)</w:t>
      </w:r>
    </w:p>
    <w:p>
      <w:pPr>
        <w:numPr>
          <w:ilvl w:val="0"/>
          <w:numId w:val="1012"/>
        </w:numPr>
        <w:pStyle w:val="Compact"/>
      </w:pPr>
      <w:r>
        <w:t xml:space="preserve">Mode: Local Courier Van</w:t>
      </w:r>
    </w:p>
    <w:p>
      <w:pPr>
        <w:numPr>
          <w:ilvl w:val="0"/>
          <w:numId w:val="1012"/>
        </w:numPr>
        <w:pStyle w:val="Compact"/>
      </w:pPr>
      <w:r>
        <w:t xml:space="preserve">Assumed Effective Distance for Last-Mile: 500 km (applying the given transport distance to illustrate impact, acknowledging real last-mile distances vary greatly)</w:t>
      </w:r>
    </w:p>
    <w:p>
      <w:pPr>
        <w:numPr>
          <w:ilvl w:val="0"/>
          <w:numId w:val="1012"/>
        </w:numPr>
        <w:pStyle w:val="Compact"/>
      </w:pPr>
      <w:r>
        <w:t xml:space="preserve">Emission Factor: 0.20 kg CO2e/km</w:t>
      </w:r>
    </w:p>
    <w:p>
      <w:pPr>
        <w:numPr>
          <w:ilvl w:val="0"/>
          <w:numId w:val="1012"/>
        </w:numPr>
        <w:pStyle w:val="Compact"/>
      </w:pPr>
      <w:r>
        <w:rPr>
          <w:bCs/>
          <w:b/>
        </w:rPr>
        <w:t xml:space="preserve">Last-Mile Delivery Emissions:</w:t>
      </w:r>
      <w:r>
        <w:t xml:space="preserve"> </w:t>
      </w:r>
      <w:r>
        <w:t xml:space="preserve">500 km * 0.20 kg CO2e/km =</w:t>
      </w:r>
      <w:r>
        <w:t xml:space="preserve"> </w:t>
      </w:r>
      <w:r>
        <w:rPr>
          <w:bCs/>
          <w:b/>
        </w:rPr>
        <w:t xml:space="preserve">100.0 kg CO2e</w:t>
      </w:r>
    </w:p>
    <w:p>
      <w:pPr>
        <w:pStyle w:val="FirstParagraph"/>
      </w:pPr>
      <w:r>
        <w:rPr>
          <w:iCs/>
          <w:i/>
        </w:rPr>
        <w:t xml:space="preserve">Assumption: The \'Last-Mile Delivery\' emission factor is applied per kilometer of the product\'s effective journey in a delivery van. This calculation highlights that last-mile logistics can be a significant hotspot if not optimized.</w:t>
      </w:r>
    </w:p>
    <w:bookmarkEnd w:id="37"/>
    <w:bookmarkEnd w:id="38"/>
    <w:bookmarkStart w:id="39" w:name="use-phase-scope-3-category-11"/>
    <w:p>
      <w:pPr>
        <w:pStyle w:val="Heading3"/>
      </w:pPr>
      <w:r>
        <w:t xml:space="preserve">3.4. Use Phase (Scope 3, Category 11)</w:t>
      </w:r>
    </w:p>
    <w:p>
      <w:pPr>
        <w:numPr>
          <w:ilvl w:val="0"/>
          <w:numId w:val="1013"/>
        </w:numPr>
        <w:pStyle w:val="Compact"/>
      </w:pPr>
      <w:r>
        <w:t xml:space="preserve">Total Energy Consumption over Lifespan: 50 kWh</w:t>
      </w:r>
    </w:p>
    <w:p>
      <w:pPr>
        <w:numPr>
          <w:ilvl w:val="0"/>
          <w:numId w:val="1013"/>
        </w:numPr>
        <w:pStyle w:val="Compact"/>
      </w:pPr>
      <w:r>
        <w:t xml:space="preserve">European Grid Emission Factor: 0.25 kg CO2e/kWh</w:t>
      </w:r>
    </w:p>
    <w:p>
      <w:pPr>
        <w:numPr>
          <w:ilvl w:val="0"/>
          <w:numId w:val="1013"/>
        </w:numPr>
        <w:pStyle w:val="Compact"/>
      </w:pPr>
      <w:r>
        <w:rPr>
          <w:bCs/>
          <w:b/>
        </w:rPr>
        <w:t xml:space="preserve">Use Phase Emissions:</w:t>
      </w:r>
      <w:r>
        <w:t xml:space="preserve"> </w:t>
      </w:r>
      <w:r>
        <w:t xml:space="preserve">50 kWh * 0.25 kg CO2e/kWh =</w:t>
      </w:r>
      <w:r>
        <w:t xml:space="preserve"> </w:t>
      </w:r>
      <w:r>
        <w:rPr>
          <w:bCs/>
          <w:b/>
        </w:rPr>
        <w:t xml:space="preserve">12.5 kg CO2e</w:t>
      </w:r>
    </w:p>
    <w:bookmarkEnd w:id="39"/>
    <w:bookmarkStart w:id="40" w:name="end-of-life-eol-scope-3-category-12"/>
    <w:p>
      <w:pPr>
        <w:pStyle w:val="Heading3"/>
      </w:pPr>
      <w:r>
        <w:t xml:space="preserve">3.5. End-of-Life (EoL) (Scope 3, Category 12)</w:t>
      </w:r>
    </w:p>
    <w:p>
      <w:pPr>
        <w:numPr>
          <w:ilvl w:val="0"/>
          <w:numId w:val="1014"/>
        </w:numPr>
        <w:pStyle w:val="Compact"/>
      </w:pPr>
      <w:r>
        <w:t xml:space="preserve">Product Weight: 1.0 kg</w:t>
      </w:r>
    </w:p>
    <w:p>
      <w:pPr>
        <w:numPr>
          <w:ilvl w:val="0"/>
          <w:numId w:val="1014"/>
        </w:numPr>
        <w:pStyle w:val="Compact"/>
      </w:pPr>
      <w:r>
        <w:t xml:space="preserve">Recyclability Percentage: 80%</w:t>
      </w:r>
    </w:p>
    <w:p>
      <w:pPr>
        <w:numPr>
          <w:ilvl w:val="0"/>
          <w:numId w:val="1014"/>
        </w:numPr>
        <w:pStyle w:val="Compact"/>
      </w:pPr>
      <w:r>
        <w:t xml:space="preserve">Non-recycled waste: 1.0 kg * (1 - 0.80) = 0.2 kg</w:t>
      </w:r>
    </w:p>
    <w:p>
      <w:pPr>
        <w:numPr>
          <w:ilvl w:val="0"/>
          <w:numId w:val="1014"/>
        </w:numPr>
        <w:pStyle w:val="Compact"/>
      </w:pPr>
      <w:r>
        <w:t xml:space="preserve">Landfill Emission Factor: 0.15 kg CO2e/kg</w:t>
      </w:r>
    </w:p>
    <w:p>
      <w:pPr>
        <w:numPr>
          <w:ilvl w:val="0"/>
          <w:numId w:val="1014"/>
        </w:numPr>
        <w:pStyle w:val="Compact"/>
      </w:pPr>
      <w:r>
        <w:rPr>
          <w:bCs/>
          <w:b/>
        </w:rPr>
        <w:t xml:space="preserve">End-of-Life Emissions (Landfill):</w:t>
      </w:r>
      <w:r>
        <w:t xml:space="preserve"> </w:t>
      </w:r>
      <w:r>
        <w:t xml:space="preserve">0.2 kg * 0.15 kg CO2e/kg =</w:t>
      </w:r>
      <w:r>
        <w:t xml:space="preserve"> </w:t>
      </w:r>
      <w:r>
        <w:rPr>
          <w:bCs/>
          <w:b/>
        </w:rPr>
        <w:t xml:space="preserve">0.03 kg CO2e</w:t>
      </w:r>
    </w:p>
    <w:p>
      <w:pPr>
        <w:pStyle w:val="FirstParagraph"/>
      </w:pPr>
      <w:r>
        <w:rPr>
          <w:iCs/>
          <w:i/>
        </w:rPr>
        <w:t xml:space="preserve">The active take-back and refurbishment programs (dztsyxqlrs) are expected to significantly reduce the overall environmental burden by extending product lifespan and recovering materials, though specific quantitative credits for these are complex and not included in this simplified EoL calculation.</w:t>
      </w:r>
    </w:p>
    <w:p>
      <w:r>
        <w:pict>
          <v:rect style="width:0;height:1.5pt" o:hralign="center" o:hrstd="t" o:hr="t"/>
        </w:pict>
      </w:r>
    </w:p>
    <w:bookmarkEnd w:id="40"/>
    <w:bookmarkEnd w:id="41"/>
    <w:bookmarkStart w:id="42" w:name="total-product-carbon-footprint-pcf"/>
    <w:p>
      <w:pPr>
        <w:pStyle w:val="Heading2"/>
      </w:pPr>
      <w:r>
        <w:t xml:space="preserve">4. Total Product Carbon Footprint (PCF)</w:t>
      </w:r>
    </w:p>
    <w:p>
      <w:pPr>
        <w:pStyle w:val="FirstParagraph"/>
      </w:pPr>
      <w:r>
        <w:t xml:space="preserve">The total Product Carbon Footprint for one functional unit of suxeomyhou is the sum of emissions across all life 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6.25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1.425</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0.05</w:t>
            </w:r>
          </w:p>
        </w:tc>
      </w:tr>
      <w:tr>
        <w:tc>
          <w:tcPr/>
          <w:p>
            <w:pPr>
              <w:pStyle w:val="Compact"/>
              <w:jc w:val="left"/>
            </w:pPr>
            <w:r>
              <w:t xml:space="preserve">Transportation (Downstream - Last-Mile)</w:t>
            </w:r>
          </w:p>
        </w:tc>
        <w:tc>
          <w:tcPr/>
          <w:p>
            <w:pPr>
              <w:pStyle w:val="Compact"/>
              <w:jc w:val="left"/>
            </w:pPr>
            <w:r>
              <w:t xml:space="preserve">Scope 3, Category 9</w:t>
            </w:r>
          </w:p>
        </w:tc>
        <w:tc>
          <w:tcPr/>
          <w:p>
            <w:pPr>
              <w:pStyle w:val="Compact"/>
              <w:jc w:val="left"/>
            </w:pPr>
            <w:r>
              <w:t xml:space="preserve">100.00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(Landfill)</w:t>
            </w:r>
          </w:p>
        </w:tc>
        <w:tc>
          <w:tcPr/>
          <w:p>
            <w:pPr>
              <w:pStyle w:val="Compact"/>
              <w:jc w:val="left"/>
            </w:pPr>
            <w:r>
              <w:t xml:space="preserve">Scope 3, Category 12</w:t>
            </w:r>
          </w:p>
        </w:tc>
        <w:tc>
          <w:tcPr/>
          <w:p>
            <w:pPr>
              <w:pStyle w:val="Compact"/>
              <w:jc w:val="left"/>
            </w:pPr>
            <w:r>
              <w:t xml:space="preserve">0.03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120.255 kg CO2e</w:t>
            </w:r>
          </w:p>
        </w:tc>
      </w:tr>
    </w:tbl>
    <w:p>
      <w:r>
        <w:pict>
          <v:rect style="width:0;height:1.5pt" o:hralign="center" o:hrstd="t" o:hr="t"/>
        </w:pict>
      </w:r>
    </w:p>
    <w:bookmarkEnd w:id="42"/>
    <w:bookmarkStart w:id="46" w:name="X26295a112c9bc2ab5a42b3a4866845f69c4357a"/>
    <w:p>
      <w:pPr>
        <w:pStyle w:val="Heading2"/>
      </w:pPr>
      <w:r>
        <w:t xml:space="preserve">5. Review &amp; Reporting: Hotspots and Reliability</w:t>
      </w:r>
    </w:p>
    <w:bookmarkStart w:id="43" w:name="emission-hotspots"/>
    <w:p>
      <w:pPr>
        <w:pStyle w:val="Heading3"/>
      </w:pPr>
      <w:r>
        <w:t xml:space="preserve">5.1. Emission Hotspots</w:t>
      </w:r>
    </w:p>
    <w:p>
      <w:pPr>
        <w:pStyle w:val="FirstParagraph"/>
      </w:pPr>
      <w:r>
        <w:t xml:space="preserve">Based on this analysis, the primary emission hotspots for suxeomyhou are:</w:t>
      </w:r>
    </w:p>
    <w:p>
      <w:pPr>
        <w:numPr>
          <w:ilvl w:val="0"/>
          <w:numId w:val="1015"/>
        </w:numPr>
        <w:pStyle w:val="Compact"/>
      </w:pPr>
      <w:r>
        <w:rPr>
          <w:bCs/>
          <w:b/>
        </w:rPr>
        <w:t xml:space="preserve">Last-Mile Delivery (100.00 kg CO2e):</w:t>
      </w:r>
      <w:r>
        <w:t xml:space="preserve"> </w:t>
      </w:r>
      <w:r>
        <w:t xml:space="preserve">This stage represents the most significant contributor to the total PCF. The chosen emission factor for a local courier van, applied over the given distance, indicates that freight and logistics, especially the last mile, are critical areas for intervention. Optimization of delivery routes, vehicle types (e.g., electric vans), and load factors can yield substantial reductions.</w:t>
      </w:r>
    </w:p>
    <w:p>
      <w:pPr>
        <w:numPr>
          <w:ilvl w:val="0"/>
          <w:numId w:val="1015"/>
        </w:numPr>
        <w:pStyle w:val="Compact"/>
      </w:pPr>
      <w:r>
        <w:rPr>
          <w:bCs/>
          <w:b/>
        </w:rPr>
        <w:t xml:space="preserve">Use Phase (12.50 kg CO2e):</w:t>
      </w:r>
      <w:r>
        <w:t xml:space="preserve"> </w:t>
      </w:r>
      <w:r>
        <w:t xml:space="preserve">The energy consumed during the product\'s 5-year lifespan significantly contributes to the footprint. Improving energy efficiency of the product in use, or enabling its use with renewable energy sources for consumers, are key leverage points.</w:t>
      </w:r>
    </w:p>
    <w:p>
      <w:pPr>
        <w:numPr>
          <w:ilvl w:val="0"/>
          <w:numId w:val="1015"/>
        </w:numPr>
        <w:pStyle w:val="Compact"/>
      </w:pPr>
      <w:r>
        <w:rPr>
          <w:bCs/>
          <w:b/>
        </w:rPr>
        <w:t xml:space="preserve">Raw Material Acquisition &amp; Processing (6.25 kg CO2e):</w:t>
      </w:r>
      <w:r>
        <w:t xml:space="preserve"> </w:t>
      </w:r>
      <w:r>
        <w:t xml:space="preserve">The embodied emissions in materials, particularly from high-impact components like the battery and aluminum frame, are notable. Sourcing recycled content, designing for dematerialization, and engaging with suppliers on low-carbon processes can reduce this impact.</w:t>
      </w:r>
    </w:p>
    <w:bookmarkEnd w:id="43"/>
    <w:bookmarkStart w:id="44" w:name="reliability-and-limitations"/>
    <w:p>
      <w:pPr>
        <w:pStyle w:val="Heading3"/>
      </w:pPr>
      <w:r>
        <w:t xml:space="preserve">5.2. Reliability and Limitations</w:t>
      </w:r>
    </w:p>
    <w:p>
      <w:pPr>
        <w:pStyle w:val="FirstParagraph"/>
      </w:pPr>
      <w:r>
        <w:t xml:space="preserve">The reliability of this PCF analysis is contingent upon the accuracy of the input parameters and secondary emission factors used:</w:t>
      </w:r>
    </w:p>
    <w:p>
      <w:pPr>
        <w:numPr>
          <w:ilvl w:val="0"/>
          <w:numId w:val="1016"/>
        </w:numPr>
        <w:pStyle w:val="Compact"/>
      </w:pPr>
      <w:r>
        <w:rPr>
          <w:bCs/>
          <w:b/>
        </w:rPr>
        <w:t xml:space="preserve">Input Data:</w:t>
      </w:r>
      <w:r>
        <w:t xml:space="preserve"> </w:t>
      </w:r>
      <w:r>
        <w:t xml:space="preserve">The BOM \'Total Carbon\' values, energy intensity, renewable energy usage, lifespan, and energy in use were taken as provided. High accuracy of these primary data points is crucial.</w:t>
      </w:r>
    </w:p>
    <w:p>
      <w:pPr>
        <w:numPr>
          <w:ilvl w:val="0"/>
          <w:numId w:val="1016"/>
        </w:numPr>
        <w:pStyle w:val="Compact"/>
      </w:pPr>
      <w:r>
        <w:rPr>
          <w:bCs/>
          <w:b/>
        </w:rPr>
        <w:t xml:space="preserve">Emission Factors:</w:t>
      </w:r>
      <w:r>
        <w:t xml:space="preserve"> </w:t>
      </w:r>
      <w:r>
        <w:t xml:space="preserve">Industry-standard emission factors were used for electricity grids (China, Europe) and transport modes (HGV, courier van) based on recent publicly available data. While these are widely accepted, specific supplier or country-specific factors can vary.</w:t>
      </w:r>
    </w:p>
    <w:p>
      <w:pPr>
        <w:numPr>
          <w:ilvl w:val="0"/>
          <w:numId w:val="1016"/>
        </w:numPr>
        <w:pStyle w:val="Compact"/>
      </w:pPr>
      <w:r>
        <w:rPr>
          <w:bCs/>
          <w:b/>
        </w:rPr>
        <w:t xml:space="preserve">Assumptions:</w:t>
      </w:r>
      <w:r>
        <w:t xml:space="preserve"> </w:t>
      </w:r>
      <w:r>
        <w:t xml:space="preserve">Assumptions were made regarding the interpretation of \'Transport Distance\' for last-mile delivery and the unit of the last-mile emission factor. A more precise last-mile calculation would require actual average last-mile distances and load factors for the specific courier service.</w:t>
      </w:r>
    </w:p>
    <w:p>
      <w:pPr>
        <w:numPr>
          <w:ilvl w:val="0"/>
          <w:numId w:val="1016"/>
        </w:numPr>
        <w:pStyle w:val="Compact"/>
      </w:pPr>
      <w:r>
        <w:rPr>
          <w:bCs/>
          <w:b/>
        </w:rPr>
        <w:t xml:space="preserve">Circular Economy Impacts:</w:t>
      </w:r>
      <w:r>
        <w:t xml:space="preserve"> </w:t>
      </w:r>
      <w:r>
        <w:t xml:space="preserve">While the recyclability percentage is accounted for in end-of-life, the positive credits from active take-back and refurbishment programs (dztsyxqlrs) are discussed qualitatively. Quantifying these benefits would require a more detailed attributional or consequential LCA approach, which is beyond the scope of this initial PCF.</w:t>
      </w:r>
    </w:p>
    <w:p>
      <w:pPr>
        <w:numPr>
          <w:ilvl w:val="0"/>
          <w:numId w:val="1016"/>
        </w:numPr>
        <w:pStyle w:val="Compact"/>
      </w:pPr>
      <w:r>
        <w:rPr>
          <w:bCs/>
          <w:b/>
        </w:rPr>
        <w:t xml:space="preserve">2026 LSR Update:</w:t>
      </w:r>
      <w:r>
        <w:t xml:space="preserve"> </w:t>
      </w:r>
      <w:r>
        <w:t xml:space="preserve">The application of the 2026 LSR Standard is noted for its future relevance in more complex analyses involving land use change or biogenic carbon removals within the supply chain. For the product-level PCF, direct land-use change emissions were not explicitly part of the provided parameters but would be considered in a comprehensive organizational GHG inventory.</w:t>
      </w:r>
    </w:p>
    <w:p>
      <w:pPr>
        <w:numPr>
          <w:ilvl w:val="0"/>
          <w:numId w:val="1016"/>
        </w:numPr>
        <w:pStyle w:val="Compact"/>
      </w:pPr>
      <w:r>
        <w:rPr>
          <w:bCs/>
          <w:b/>
        </w:rPr>
        <w:t xml:space="preserve">Scope 3 Coverage:</w:t>
      </w:r>
      <w:r>
        <w:t xml:space="preserve"> </w:t>
      </w:r>
      <w:r>
        <w:t xml:space="preserve">The analysis aimed for at least 95% Scope 3 coverage by addressing material production, transport, use, and end-of-life. Other minor Scope 3 categories (e.g., business travel, employee commuting) are assumed to be less material for a product footprint but would be relevant for a corporate inventory.</w:t>
      </w:r>
    </w:p>
    <w:bookmarkEnd w:id="44"/>
    <w:bookmarkStart w:id="45" w:name="recommendations"/>
    <w:p>
      <w:pPr>
        <w:pStyle w:val="Heading3"/>
      </w:pPr>
      <w:r>
        <w:t xml:space="preserve">5.3. Recommendations</w:t>
      </w:r>
    </w:p>
    <w:p>
      <w:pPr>
        <w:pStyle w:val="FirstParagraph"/>
      </w:pPr>
      <w:r>
        <w:t xml:space="preserve">Based on the findings,</w:t>
      </w:r>
      <w:r>
        <w:t xml:space="preserve"> </w:t>
      </w:r>
      <w:r>
        <w:rPr>
          <w:bCs/>
          <w:b/>
        </w:rPr>
        <w:t xml:space="preserve">qvmfwqotjs</w:t>
      </w:r>
      <w:r>
        <w:t xml:space="preserve"> </w:t>
      </w:r>
      <w:r>
        <w:t xml:space="preserve">should consider the following to reduce the PCF of suxeomyhou:</w:t>
      </w:r>
    </w:p>
    <w:p>
      <w:pPr>
        <w:numPr>
          <w:ilvl w:val="0"/>
          <w:numId w:val="1017"/>
        </w:numPr>
        <w:pStyle w:val="Compact"/>
      </w:pPr>
      <w:r>
        <w:rPr>
          <w:bCs/>
          <w:b/>
        </w:rPr>
        <w:t xml:space="preserve">Logistics Optimization:</w:t>
      </w:r>
      <w:r>
        <w:t xml:space="preserve"> </w:t>
      </w:r>
      <w:r>
        <w:t xml:space="preserve">Investigate and implement strategies to reduce last-mile delivery emissions, such as optimizing delivery routes, using lower-emission vehicles (e.g., electric or cargo bikes), consolidating shipments, and leveraging local distribution networks.</w:t>
      </w:r>
    </w:p>
    <w:p>
      <w:pPr>
        <w:numPr>
          <w:ilvl w:val="0"/>
          <w:numId w:val="1017"/>
        </w:numPr>
        <w:pStyle w:val="Compact"/>
      </w:pPr>
      <w:r>
        <w:rPr>
          <w:bCs/>
          <w:b/>
        </w:rPr>
        <w:t xml:space="preserve">Product Energy Efficiency:</w:t>
      </w:r>
      <w:r>
        <w:t xml:space="preserve"> </w:t>
      </w:r>
      <w:r>
        <w:t xml:space="preserve">Enhance the energy efficiency of suxeomyhou during its use phase. Explore smart energy features, lower power consumption components, or design for compatibility with low-carbon energy sources at the consumer end.</w:t>
      </w:r>
    </w:p>
    <w:p>
      <w:pPr>
        <w:numPr>
          <w:ilvl w:val="0"/>
          <w:numId w:val="1017"/>
        </w:numPr>
        <w:pStyle w:val="Compact"/>
      </w:pPr>
      <w:r>
        <w:rPr>
          <w:bCs/>
          <w:b/>
        </w:rPr>
        <w:t xml:space="preserve">Sustainable Sourcing:</w:t>
      </w:r>
      <w:r>
        <w:t xml:space="preserve"> </w:t>
      </w:r>
      <w:r>
        <w:t xml:space="preserve">Collaborate with material suppliers to increase the use of recycled content, bio-based materials, or materials produced with renewable energy, particularly for high-impact components like batteries, plastics, and metals.</w:t>
      </w:r>
    </w:p>
    <w:p>
      <w:pPr>
        <w:numPr>
          <w:ilvl w:val="0"/>
          <w:numId w:val="1017"/>
        </w:numPr>
        <w:pStyle w:val="Compact"/>
      </w:pPr>
      <w:r>
        <w:rPr>
          <w:bCs/>
          <w:b/>
        </w:rPr>
        <w:t xml:space="preserve">Circular Economy Integration:</w:t>
      </w:r>
      <w:r>
        <w:t xml:space="preserve"> </w:t>
      </w:r>
      <w:r>
        <w:t xml:space="preserve">Deepen existing circular programs by quantifying the impact of refurbishment and reuse, potentially seeking certification for circularity to demonstrate leadership and capture avoided emissions.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suxeomyhou</dc:title>
  <dc:creator/>
  <dc:description>High-detail Product Carbon Footprint (PCF) analysis for suxeomyhou, adhering to GHG Protocol standards and 2026 LSR Update requirements.</dc:description>
  <dc:language>en</dc:language>
  <cp:keywords/>
  <dcterms:created xsi:type="dcterms:W3CDTF">2026-07-15T12:37:45Z</dcterms:created>
  <dcterms:modified xsi:type="dcterms:W3CDTF">2026-07-15T12:37:45Z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