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stwwgdgnjg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stwwgdgnjg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vreurhvyfi</w:t>
      </w:r>
    </w:p>
    <w:p>
      <w:pPr>
        <w:pStyle w:val="BodyText"/>
      </w:pPr>
      <w:r>
        <w:rPr>
          <w:bCs/>
          <w:b/>
        </w:rPr>
        <w:t xml:space="preserve">Senior Sustainability Consultant:</w:t>
      </w:r>
      <w:r>
        <w:t xml:space="preserve"> </w:t>
      </w:r>
      <w:r>
        <w:t xml:space="preserve">ozgqmsszgt</w:t>
      </w:r>
    </w:p>
    <w:p>
      <w:pPr>
        <w:pStyle w:val="BodyText"/>
      </w:pPr>
      <w:r>
        <w:t xml:space="preserve">This report is generated based on available data and industry standards, providing an estimate of the product\'s carbon footprint.</w:t>
      </w:r>
    </w:p>
    <w:bookmarkEnd w:id="20"/>
    <w:bookmarkStart w:id="40" w:name="X8f4553a8e6974a35eae1efdbc593b9ee5c9bd71"/>
    <w:p>
      <w:pPr>
        <w:pStyle w:val="Heading1"/>
      </w:pPr>
      <w:r>
        <w:t xml:space="preserve">Product Carbon Footprint Analysis for stwwgdgnjg</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stwwgdgnjg, manufactured by vreurhvyfi. The assessment, conducted by Senior Sustainability Consultant ozgqmsszgt, adheres to the GHG Protocol accounting standard, incorporating the 2026 Land Sector and Removals (LSR) Standard and targeting at least 95% Scope 3 coverage. The analysis maps the product\'s lifecycle from raw material extraction through to end-of-life, identifying key emission hotspots and offering insights for sustainability improvements. The system boundary for this analysis is "factory_gate", with a geographic scope focused on China for final production and Europe for the supply chain.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foundational parameters for accurate emission quantification.</w:t>
      </w:r>
    </w:p>
    <w:p>
      <w:pPr>
        <w:numPr>
          <w:ilvl w:val="0"/>
          <w:numId w:val="1001"/>
        </w:numPr>
        <w:pStyle w:val="Compact"/>
      </w:pPr>
      <w:r>
        <w:rPr>
          <w:bCs/>
          <w:b/>
        </w:rPr>
        <w:t xml:space="preserve">Functional Unit:</w:t>
      </w:r>
      <w:r>
        <w:t xml:space="preserve"> </w:t>
      </w:r>
      <w:r>
        <w:t xml:space="preserve">1.0 unit of stwwgdgnjg. This unit serves as the reference basis for all quantified environmental impacts, ensuring comparability and consistency.</w:t>
      </w:r>
    </w:p>
    <w:p>
      <w:pPr>
        <w:numPr>
          <w:ilvl w:val="0"/>
          <w:numId w:val="1001"/>
        </w:numPr>
        <w:pStyle w:val="Compact"/>
      </w:pPr>
      <w:r>
        <w:rPr>
          <w:bCs/>
          <w:b/>
        </w:rPr>
        <w:t xml:space="preserve">System Boundary:</w:t>
      </w:r>
      <w:r>
        <w:t xml:space="preserve"> </w:t>
      </w:r>
      <w:r>
        <w:t xml:space="preserve">factory_gate. This boundary encompasses all emissions from raw material acquisition, manufacturing, and transport up to the point the finished product leaves the production facility (factory gate). For this report, we\'ve extended beyond the strict factory gate to include transport to a distribution point and the use phase and end-of-life as per the detailed parameters provided.</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capturing the significant emissions associated with a European-centric supply chain.</w:t>
      </w:r>
    </w:p>
    <w:p>
      <w:pPr>
        <w:numPr>
          <w:ilvl w:val="0"/>
          <w:numId w:val="1001"/>
        </w:numPr>
        <w:pStyle w:val="Compact"/>
      </w:pPr>
      <w:r>
        <w:rPr>
          <w:bCs/>
          <w:b/>
        </w:rPr>
        <w:t xml:space="preserve">Accounting Standard:</w:t>
      </w:r>
      <w:r>
        <w:t xml:space="preserve"> </w:t>
      </w:r>
      <w:r>
        <w:t xml:space="preserve">GHG Protocol. This internationally recognized framework ensures a consistent and credible approach to greenhouse gas emissions accounting and reporting.</w:t>
      </w:r>
    </w:p>
    <w:p>
      <w:pPr>
        <w:numPr>
          <w:ilvl w:val="0"/>
          <w:numId w:val="1001"/>
        </w:numPr>
        <w:pStyle w:val="Compact"/>
      </w:pPr>
      <w:r>
        <w:rPr>
          <w:bCs/>
          <w:b/>
        </w:rPr>
        <w:t xml:space="preserve">Allocation:</w:t>
      </w:r>
      <w:r>
        <w:t xml:space="preserve"> </w:t>
      </w:r>
      <w:r>
        <w:t xml:space="preserve">Emissions are allocated directly to the functional unit (1.0 unit) based on direct material, energy, and process inputs. Where shared processes or infrastructure are involved, allocation is performed on a mass or economic basis, as appropriate, to reflect the product\'s proportional contribution to the overall impact.</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analysis of stwwgdgnjg. The emissions are categorized according to the GHG Protocol Scopes.</w:t>
      </w:r>
    </w:p>
    <w:bookmarkStart w:id="23" w:name="Xa4ee9741c4360b93c40916d41bd8d1e7d51eec6"/>
    <w:p>
      <w:pPr>
        <w:pStyle w:val="Heading3"/>
      </w:pPr>
      <w:r>
        <w:t xml:space="preserve">Detailed Bill of Materials (BOM) - Illustrative Data Based on Provided Format (uonyzzze)</w:t>
      </w:r>
    </w:p>
    <w:p>
      <w:pPr>
        <w:pStyle w:val="FirstParagraph"/>
      </w:pPr>
      <w:r>
        <w:t xml:space="preserve">The following table presents an illustrative Bill of Materials for stwwgdgnjg, adhering to the specified format. In a real-world scenario, the "uonyzzze" data would provide these specific values for direct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Sheet (Recycled)</w:t>
            </w:r>
          </w:p>
        </w:tc>
        <w:tc>
          <w:tcPr/>
          <w:p>
            <w:pPr>
              <w:pStyle w:val="Compact"/>
              <w:jc w:val="left"/>
            </w:pPr>
            <w:r>
              <w:t xml:space="preserve">Metals</w:t>
            </w:r>
          </w:p>
        </w:tc>
        <w:tc>
          <w:tcPr/>
          <w:p>
            <w:pPr>
              <w:pStyle w:val="Compact"/>
              <w:jc w:val="left"/>
            </w:pPr>
            <w:r>
              <w:t xml:space="preserve">Steelmaking,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6.00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w:t>
            </w:r>
          </w:p>
        </w:tc>
      </w:tr>
    </w:tbl>
    <w:bookmarkEnd w:id="23"/>
    <w:bookmarkStart w:id="24" w:name="X1eb430741bebb5447c2de733c38f2f4abbabf59"/>
    <w:p>
      <w:pPr>
        <w:pStyle w:val="Heading3"/>
      </w:pPr>
      <w:r>
        <w:t xml:space="preserve">Energy Inputs (Production Phase) - Scope 2 Emissions</w:t>
      </w:r>
    </w:p>
    <w:p>
      <w:pPr>
        <w:numPr>
          <w:ilvl w:val="0"/>
          <w:numId w:val="1002"/>
        </w:numPr>
        <w:pStyle w:val="Compact"/>
      </w:pPr>
      <w:r>
        <w:rPr>
          <w:bCs/>
          <w:b/>
        </w:rPr>
        <w:t xml:space="preserve">Renewable Energy Usage:</w:t>
      </w:r>
      <w:r>
        <w:t xml:space="preserve"> </w:t>
      </w:r>
      <w:r>
        <w:t xml:space="preserve">pxpginetiy (e.g., 50%). This percentage of renewable energy directly reduces the Scope 2 emissions associated with purchased electricity.</w:t>
      </w:r>
    </w:p>
    <w:p>
      <w:pPr>
        <w:numPr>
          <w:ilvl w:val="0"/>
          <w:numId w:val="1002"/>
        </w:numPr>
        <w:pStyle w:val="Compact"/>
      </w:pPr>
      <w:r>
        <w:rPr>
          <w:bCs/>
          <w:b/>
        </w:rPr>
        <w:t xml:space="preserve">Energy Intensity (kWh/unit):</w:t>
      </w:r>
      <w:r>
        <w:t xml:space="preserve"> </w:t>
      </w:r>
      <w:r>
        <w:t xml:space="preserve">ommgmrpdjt (e.g., 2.5 kWh/unit). This metric quantifies the electricity consumed per functional unit during the manufacturing process.</w:t>
      </w:r>
    </w:p>
    <w:p>
      <w:pPr>
        <w:numPr>
          <w:ilvl w:val="0"/>
          <w:numId w:val="1002"/>
        </w:numPr>
        <w:pStyle w:val="Compact"/>
      </w:pPr>
      <w:r>
        <w:rPr>
          <w:bCs/>
          <w:b/>
        </w:rPr>
        <w:t xml:space="preserve">Assumed Grid Emission Factor (China):</w:t>
      </w:r>
      <w:r>
        <w:t xml:space="preserve"> </w:t>
      </w:r>
      <w:r>
        <w:t xml:space="preserve">For non-renewable electricity, an emission factor for the Chinese grid is applied (e.g., 0.7 kg CO2e/kWh, illustrative from Ecoinvent/DEFRA data).</w:t>
      </w:r>
    </w:p>
    <w:bookmarkEnd w:id="24"/>
    <w:bookmarkStart w:id="25" w:name="X30149b62fee0b0609a8173da27d69438e82afb3"/>
    <w:p>
      <w:pPr>
        <w:pStyle w:val="Heading3"/>
      </w:pPr>
      <w:r>
        <w:t xml:space="preserve">Logistics Data (Supply Chain - Upstream &amp; Downstream - Scope 3 Emissions)</w:t>
      </w:r>
    </w:p>
    <w:p>
      <w:pPr>
        <w:numPr>
          <w:ilvl w:val="0"/>
          <w:numId w:val="1003"/>
        </w:numPr>
        <w:pStyle w:val="Compact"/>
      </w:pPr>
      <w:r>
        <w:rPr>
          <w:bCs/>
          <w:b/>
        </w:rPr>
        <w:t xml:space="preserve">Transport Mode (Raw Materials to Factory):</w:t>
      </w:r>
      <w:r>
        <w:t xml:space="preserve"> </w:t>
      </w:r>
      <w:r>
        <w:t xml:space="preserve">Select Mode (e.g., Sea Freight).</w:t>
      </w:r>
    </w:p>
    <w:p>
      <w:pPr>
        <w:numPr>
          <w:ilvl w:val="0"/>
          <w:numId w:val="1003"/>
        </w:numPr>
        <w:pStyle w:val="Compact"/>
      </w:pPr>
      <w:r>
        <w:rPr>
          <w:bCs/>
          <w:b/>
        </w:rPr>
        <w:t xml:space="preserve">Transport Distance (Raw Materials to Factory):</w:t>
      </w:r>
      <w:r>
        <w:t xml:space="preserve"> </w:t>
      </w:r>
      <w:r>
        <w:t xml:space="preserve">qvilgpzwpe (e.g., 10,000 km).</w:t>
      </w:r>
    </w:p>
    <w:p>
      <w:pPr>
        <w:numPr>
          <w:ilvl w:val="0"/>
          <w:numId w:val="1003"/>
        </w:numPr>
        <w:pStyle w:val="Compact"/>
      </w:pPr>
      <w:r>
        <w:rPr>
          <w:bCs/>
          <w:b/>
        </w:rPr>
        <w:t xml:space="preserve">Last-Mile Delivery Channel (Finished Product):</w:t>
      </w:r>
      <w:r>
        <w:t xml:space="preserve"> </w:t>
      </w:r>
      <w:r>
        <w:t xml:space="preserve">Delivery Type (e.g., Road Freight - Van).</w:t>
      </w:r>
    </w:p>
    <w:p>
      <w:pPr>
        <w:numPr>
          <w:ilvl w:val="0"/>
          <w:numId w:val="1003"/>
        </w:numPr>
        <w:pStyle w:val="Compact"/>
      </w:pPr>
      <w:r>
        <w:rPr>
          <w:bCs/>
          <w:b/>
        </w:rPr>
        <w:t xml:space="preserve">Assumed Transport Emission Factors:</w:t>
      </w:r>
      <w:r>
        <w:t xml:space="preserve"> </w:t>
      </w:r>
      <w:r>
        <w:t xml:space="preserve">Illustrative emission factors are used for calculations (e.g., Sea Freight: 0.01 kg CO2e/tkm; Road Freight - Van: 0.1 kg CO2e/tkm).</w:t>
      </w:r>
    </w:p>
    <w:bookmarkEnd w:id="25"/>
    <w:bookmarkStart w:id="26" w:name="use-phase-data-scope-3-emissions"/>
    <w:p>
      <w:pPr>
        <w:pStyle w:val="Heading3"/>
      </w:pPr>
      <w:r>
        <w:t xml:space="preserve">Use Phase Data (Scope 3 Emissions)</w:t>
      </w:r>
    </w:p>
    <w:p>
      <w:pPr>
        <w:numPr>
          <w:ilvl w:val="0"/>
          <w:numId w:val="1004"/>
        </w:numPr>
        <w:pStyle w:val="Compact"/>
      </w:pPr>
      <w:r>
        <w:rPr>
          <w:bCs/>
          <w:b/>
        </w:rPr>
        <w:t xml:space="preserve">Product Lifespan:</w:t>
      </w:r>
      <w:r>
        <w:t xml:space="preserve"> </w:t>
      </w:r>
      <w:r>
        <w:t xml:space="preserve">gwfdsetjgj (e.g., 5 years). This dictates the duration over which the product\'s in-use energy consumption contributes to its footprint.</w:t>
      </w:r>
    </w:p>
    <w:p>
      <w:pPr>
        <w:numPr>
          <w:ilvl w:val="0"/>
          <w:numId w:val="1004"/>
        </w:numPr>
        <w:pStyle w:val="Compact"/>
      </w:pPr>
      <w:r>
        <w:rPr>
          <w:bCs/>
          <w:b/>
        </w:rPr>
        <w:t xml:space="preserve">Energy Consumption in Use:</w:t>
      </w:r>
      <w:r>
        <w:t xml:space="preserve"> </w:t>
      </w:r>
      <w:r>
        <w:t xml:space="preserve">oqtwjeirpg (e.g., 10 kWh/year). This represents the annual electricity consumption during the product\'s operational life.</w:t>
      </w:r>
    </w:p>
    <w:p>
      <w:pPr>
        <w:numPr>
          <w:ilvl w:val="0"/>
          <w:numId w:val="1004"/>
        </w:numPr>
        <w:pStyle w:val="Compact"/>
      </w:pPr>
      <w:r>
        <w:rPr>
          <w:bCs/>
          <w:b/>
        </w:rPr>
        <w:t xml:space="preserve">Assumed Grid Emission Factor (User Location - Europe Focused):</w:t>
      </w:r>
      <w:r>
        <w:t xml:space="preserve"> </w:t>
      </w:r>
      <w:r>
        <w:t xml:space="preserve">An average European grid emission factor (e.g., 0.3 kg CO2e/kWh, illustrative) is applied.</w:t>
      </w:r>
    </w:p>
    <w:bookmarkEnd w:id="26"/>
    <w:bookmarkStart w:id="27" w:name="Xdce904245d42a2a54e5a105519827edd4dabc91"/>
    <w:p>
      <w:pPr>
        <w:pStyle w:val="Heading3"/>
      </w:pPr>
      <w:r>
        <w:t xml:space="preserve">End-of-Life (EoL) Scenarios (Scope 3 Emissions)</w:t>
      </w:r>
    </w:p>
    <w:p>
      <w:pPr>
        <w:numPr>
          <w:ilvl w:val="0"/>
          <w:numId w:val="1005"/>
        </w:numPr>
        <w:pStyle w:val="Compact"/>
      </w:pPr>
      <w:r>
        <w:rPr>
          <w:bCs/>
          <w:b/>
        </w:rPr>
        <w:t xml:space="preserve">Recyclability Percentage:</w:t>
      </w:r>
      <w:r>
        <w:t xml:space="preserve"> </w:t>
      </w:r>
      <w:r>
        <w:t xml:space="preserve">xjlpziyefp (e.g., 70%). This percentage informs the avoided emissions from recycling materials versus virgin production.</w:t>
      </w:r>
    </w:p>
    <w:p>
      <w:pPr>
        <w:numPr>
          <w:ilvl w:val="0"/>
          <w:numId w:val="1005"/>
        </w:numPr>
        <w:pStyle w:val="Compact"/>
      </w:pPr>
      <w:r>
        <w:rPr>
          <w:bCs/>
          <w:b/>
        </w:rPr>
        <w:t xml:space="preserve">Circular/Take-back Programs:</w:t>
      </w:r>
      <w:r>
        <w:t xml:space="preserve"> </w:t>
      </w:r>
      <w:r>
        <w:t xml:space="preserve">emriwgujez (e.g., "Product buy-back and refurbishment program"). The presence of such programs can significantly reduce waste and extend product utility, leading to avoided emissions.</w:t>
      </w:r>
    </w:p>
    <w:p>
      <w:pPr>
        <w:numPr>
          <w:ilvl w:val="0"/>
          <w:numId w:val="1005"/>
        </w:numPr>
        <w:pStyle w:val="Compact"/>
      </w:pPr>
      <w:r>
        <w:rPr>
          <w:bCs/>
          <w:b/>
        </w:rPr>
        <w:t xml:space="preserve">Assumed EoL Emission Factors:</w:t>
      </w:r>
      <w:r>
        <w:t xml:space="preserve"> </w:t>
      </w:r>
      <w:r>
        <w:t xml:space="preserve">Illustrative factors for landfilling, incineration, and avoided emissions from recycling are used (e.g., landfill: 0.1 kg CO2e/kg; avoided recycling credit: -1.0 kg CO2e/kg for plastics).</w:t>
      </w:r>
    </w:p>
    <w:p>
      <w:pPr>
        <w:pStyle w:val="FirstParagraph"/>
      </w:pPr>
      <w:r>
        <w:rPr>
          <w:iCs/>
          <w:i/>
        </w:rPr>
        <w:t xml:space="preserve">Note: All emission factors used in this report are illustrative and are based on industry-standard sources like Ecoinvent and DEFRA for demonstrating the methodology. For a precise calculation, specific, up-to-date regional factors would be procured.</w:t>
      </w:r>
    </w:p>
    <w:p>
      <w:r>
        <w:pict>
          <v:rect style="width:0;height:1.5pt" o:hralign="center" o:hrstd="t" o:hr="t"/>
        </w:pict>
      </w:r>
    </w:p>
    <w:bookmarkEnd w:id="27"/>
    <w:bookmarkEnd w:id="28"/>
    <w:bookmarkStart w:id="36" w:name="calculate-emissions"/>
    <w:p>
      <w:pPr>
        <w:pStyle w:val="Heading2"/>
      </w:pPr>
      <w:r>
        <w:t xml:space="preserve">4. Calculate Emissions</w:t>
      </w:r>
    </w:p>
    <w:p>
      <w:pPr>
        <w:pStyle w:val="FirstParagraph"/>
      </w:pPr>
      <w:r>
        <w:t xml:space="preserve">Emissions are calculated for each lifecycle stage by multiplying activity data by the relevant emission factor (Activity * Emission Factor = CO2e). The emissions are categorized according to GHG Protocol Scopes.</w:t>
      </w:r>
    </w:p>
    <w:bookmarkStart w:id="29" w:name="scope-1-direct-emissions"/>
    <w:p>
      <w:pPr>
        <w:pStyle w:val="Heading3"/>
      </w:pPr>
      <w:r>
        <w:t xml:space="preserve">Scope 1: Direct Emissions</w:t>
      </w:r>
    </w:p>
    <w:p>
      <w:pPr>
        <w:pStyle w:val="FirstParagraph"/>
      </w:pPr>
      <w:r>
        <w:t xml:space="preserve">For a "factory_gate" system boundary focusing on product PCF, direct emissions from owned or controlled sources (e.g., on-site combustion of natural gas for heating) are typically minimal unless the manufacturing process itself involves direct fuel consumption at the facility. As no specific Scope 1 data for manufacturing processes was provided, this category is assumed to be negligible or covered within Scope 2 and 3 for the product itself, or managed at an organizational level rather than directly attributed to this specific product PCF at the factory gate. For a comprehensive organizational footprint, these would be explicitly quantified.</w:t>
      </w:r>
    </w:p>
    <w:bookmarkEnd w:id="29"/>
    <w:bookmarkStart w:id="30" w:name="X158095f9350ac49aa5904e2590d8a9baedd908f"/>
    <w:p>
      <w:pPr>
        <w:pStyle w:val="Heading3"/>
      </w:pPr>
      <w:r>
        <w:t xml:space="preserve">Scope 2: Purchased Energy Emissions (Production Phase)</w:t>
      </w:r>
    </w:p>
    <w:p>
      <w:pPr>
        <w:pStyle w:val="FirstParagraph"/>
      </w:pPr>
      <w:r>
        <w:t xml:space="preserve">This includes indirect emissions from the generation of purchased electricity or heat consumed during the production of stwwgdgnjg.</w:t>
      </w:r>
    </w:p>
    <w:p>
      <w:pPr>
        <w:numPr>
          <w:ilvl w:val="0"/>
          <w:numId w:val="1006"/>
        </w:numPr>
        <w:pStyle w:val="Compact"/>
      </w:pPr>
      <w:r>
        <w:rPr>
          <w:bCs/>
          <w:b/>
        </w:rPr>
        <w:t xml:space="preserve">Total Electricity Consumption:</w:t>
      </w:r>
      <w:r>
        <w:t xml:space="preserve"> </w:t>
      </w:r>
      <w:r>
        <w:t xml:space="preserve">ommgmrpdjt (2.5 kWh/unit)</w:t>
      </w:r>
    </w:p>
    <w:p>
      <w:pPr>
        <w:numPr>
          <w:ilvl w:val="0"/>
          <w:numId w:val="1006"/>
        </w:numPr>
        <w:pStyle w:val="Compact"/>
      </w:pPr>
      <w:r>
        <w:rPr>
          <w:bCs/>
          <w:b/>
        </w:rPr>
        <w:t xml:space="preserve">Renewable Energy Used:</w:t>
      </w:r>
      <w:r>
        <w:t xml:space="preserve"> </w:t>
      </w:r>
      <w:r>
        <w:t xml:space="preserve">pxpginetiy (50%)</w:t>
      </w:r>
    </w:p>
    <w:p>
      <w:pPr>
        <w:numPr>
          <w:ilvl w:val="0"/>
          <w:numId w:val="1006"/>
        </w:numPr>
        <w:pStyle w:val="Compact"/>
      </w:pPr>
      <w:r>
        <w:rPr>
          <w:bCs/>
          <w:b/>
        </w:rPr>
        <w:t xml:space="preserve">Non-Renewable Electricity:</w:t>
      </w:r>
      <w:r>
        <w:t xml:space="preserve"> </w:t>
      </w:r>
      <w:r>
        <w:t xml:space="preserve">2.5 kWh/unit * (1 - 0.50) = 1.25 kWh/unit</w:t>
      </w:r>
    </w:p>
    <w:p>
      <w:pPr>
        <w:numPr>
          <w:ilvl w:val="0"/>
          <w:numId w:val="1006"/>
        </w:numPr>
        <w:pStyle w:val="Compact"/>
      </w:pPr>
      <w:r>
        <w:rPr>
          <w:bCs/>
          <w:b/>
        </w:rPr>
        <w:t xml:space="preserve">Scope 2 Emissions:</w:t>
      </w:r>
      <w:r>
        <w:t xml:space="preserve"> </w:t>
      </w:r>
      <w:r>
        <w:t xml:space="preserve">1.25 kWh/unit * 0.7 kg CO2e/kWh (China grid EF) = 0.875 kg CO2e/unit</w:t>
      </w:r>
    </w:p>
    <w:p>
      <w:pPr>
        <w:pStyle w:val="FirstParagraph"/>
      </w:pPr>
      <w:r>
        <w:rPr>
          <w:bCs/>
          <w:b/>
        </w:rPr>
        <w:t xml:space="preserve">Calculated Scope 2 Emissions: 0.875 kg CO2e/unit</w:t>
      </w:r>
    </w:p>
    <w:bookmarkEnd w:id="30"/>
    <w:bookmarkStart w:id="34" w:name="X481283650a5d1a5c50b68a6d9f38ac7f42ccb99"/>
    <w:p>
      <w:pPr>
        <w:pStyle w:val="Heading3"/>
      </w:pPr>
      <w:r>
        <w:t xml:space="preserve">Scope 3: Value Chain Emissions (Upstream, Downstream, and EoL)</w:t>
      </w:r>
    </w:p>
    <w:p>
      <w:pPr>
        <w:pStyle w:val="FirstParagraph"/>
      </w:pPr>
      <w:r>
        <w:t xml:space="preserve">This category encompasses all other indirect emissions that occur in the value chain, both upstream and downstream. We are committed to achieving at least 95% coverage for Scope 3 reporting as per 2026 requirements.</w:t>
      </w:r>
    </w:p>
    <w:bookmarkStart w:id="31" w:name="Xa0a9e2e4aad6e0ed4d1a469192896d07fdc20b2"/>
    <w:p>
      <w:pPr>
        <w:pStyle w:val="Heading4"/>
      </w:pPr>
      <w:r>
        <w:t xml:space="preserve">Upstream Emissions (Cradle-to-Gate - excluding direct manufacturing energy)</w:t>
      </w:r>
    </w:p>
    <w:p>
      <w:pPr>
        <w:pStyle w:val="FirstParagraph"/>
      </w:pPr>
      <w:r>
        <w:t xml:space="preserve">This includes raw material extraction, processing, and transportation to the factory.</w:t>
      </w:r>
    </w:p>
    <w:p>
      <w:pPr>
        <w:numPr>
          <w:ilvl w:val="0"/>
          <w:numId w:val="1007"/>
        </w:numPr>
        <w:pStyle w:val="Compact"/>
      </w:pPr>
      <w:r>
        <w:rPr>
          <w:bCs/>
          <w:b/>
        </w:rPr>
        <w:t xml:space="preserve">Materials from BOM (sum of "Total Carbon" column):</w:t>
      </w:r>
      <w:r>
        <w:t xml:space="preserve"> </w:t>
      </w:r>
      <w:r>
        <w:t xml:space="preserve">2.00 + 0.60 + 0.40 + 1.50 + 6.00 + 0.10 = 10.60 kg CO2e/unit</w:t>
      </w:r>
    </w:p>
    <w:p>
      <w:pPr>
        <w:numPr>
          <w:ilvl w:val="0"/>
          <w:numId w:val="1007"/>
        </w:numPr>
        <w:pStyle w:val="Compact"/>
      </w:pPr>
      <w:r>
        <w:rPr>
          <w:bCs/>
          <w:b/>
        </w:rPr>
        <w:t xml:space="preserve">Transport of Raw Materials:</w:t>
      </w:r>
    </w:p>
    <w:p>
      <w:pPr>
        <w:numPr>
          <w:ilvl w:val="1"/>
          <w:numId w:val="1008"/>
        </w:numPr>
        <w:pStyle w:val="Compact"/>
      </w:pPr>
      <w:r>
        <w:t xml:space="preserve">Assuming average weight of raw materials from BOM (0.8+0.5+0.1+1.0+1.0+0.2 = 3.6 kg/unit) and illustrative factors for "Select Mode" (Sea Freight) over "qvilgpzwpe" (10,000 km).</w:t>
      </w:r>
    </w:p>
    <w:p>
      <w:pPr>
        <w:numPr>
          <w:ilvl w:val="1"/>
          <w:numId w:val="1008"/>
        </w:numPr>
        <w:pStyle w:val="Compact"/>
      </w:pPr>
      <w:r>
        <w:t xml:space="preserve">Transport Emissions: (3.6 kg / 1000 kg/tonne) * 10,000 km * 0.01 kg CO2e/tkm = 0.36 kg CO2e/unit</w:t>
      </w:r>
    </w:p>
    <w:p>
      <w:pPr>
        <w:pStyle w:val="FirstParagraph"/>
      </w:pPr>
      <w:r>
        <w:rPr>
          <w:bCs/>
          <w:b/>
        </w:rPr>
        <w:t xml:space="preserve">Total Upstream Emissions (Illustrative): 10.60 kg CO2e (materials) + 0.36 kg CO2e (transport) = 10.96 kg CO2e/unit</w:t>
      </w:r>
    </w:p>
    <w:bookmarkEnd w:id="31"/>
    <w:bookmarkStart w:id="32" w:name="X5fa82dbc262ae58fd601d847e2df8fd1b1803fa"/>
    <w:p>
      <w:pPr>
        <w:pStyle w:val="Heading4"/>
      </w:pPr>
      <w:r>
        <w:t xml:space="preserve">Downstream Emissions (Use Phase and End-of-Life)</w:t>
      </w:r>
    </w:p>
    <w:p>
      <w:pPr>
        <w:numPr>
          <w:ilvl w:val="0"/>
          <w:numId w:val="1009"/>
        </w:numPr>
        <w:pStyle w:val="Compact"/>
      </w:pPr>
      <w:r>
        <w:rPr>
          <w:bCs/>
          <w:b/>
        </w:rPr>
        <w:t xml:space="preserve">Use Phase Emissions:</w:t>
      </w:r>
    </w:p>
    <w:p>
      <w:pPr>
        <w:numPr>
          <w:ilvl w:val="1"/>
          <w:numId w:val="1010"/>
        </w:numPr>
        <w:pStyle w:val="Compact"/>
      </w:pPr>
      <w:r>
        <w:t xml:space="preserve">Annual Energy Consumption: oqtwjeirpg (10 kWh/year)</w:t>
      </w:r>
    </w:p>
    <w:p>
      <w:pPr>
        <w:numPr>
          <w:ilvl w:val="1"/>
          <w:numId w:val="1010"/>
        </w:numPr>
        <w:pStyle w:val="Compact"/>
      </w:pPr>
      <w:r>
        <w:t xml:space="preserve">Product Lifespan: gwfdsetjgj (5 years)</w:t>
      </w:r>
    </w:p>
    <w:p>
      <w:pPr>
        <w:numPr>
          <w:ilvl w:val="1"/>
          <w:numId w:val="1010"/>
        </w:numPr>
        <w:pStyle w:val="Compact"/>
      </w:pPr>
      <w:r>
        <w:t xml:space="preserve">Total Energy in Use: 10 kWh/year * 5 years = 50 kWh/unit</w:t>
      </w:r>
    </w:p>
    <w:p>
      <w:pPr>
        <w:numPr>
          <w:ilvl w:val="1"/>
          <w:numId w:val="1010"/>
        </w:numPr>
        <w:pStyle w:val="Compact"/>
      </w:pPr>
      <w:r>
        <w:t xml:space="preserve">Use Phase Emissions: 50 kWh/unit * 0.3 kg CO2e/kWh (European grid EF) = 15.00 kg CO2e/unit</w:t>
      </w:r>
    </w:p>
    <w:p>
      <w:pPr>
        <w:numPr>
          <w:ilvl w:val="0"/>
          <w:numId w:val="1009"/>
        </w:numPr>
        <w:pStyle w:val="Compact"/>
      </w:pPr>
      <w:r>
        <w:rPr>
          <w:bCs/>
          <w:b/>
        </w:rPr>
        <w:t xml:space="preserve">End-of-Life (EoL) Emissions/Credits:</w:t>
      </w:r>
    </w:p>
    <w:p>
      <w:pPr>
        <w:numPr>
          <w:ilvl w:val="1"/>
          <w:numId w:val="1011"/>
        </w:numPr>
        <w:pStyle w:val="Compact"/>
      </w:pPr>
      <w:r>
        <w:t xml:space="preserve">Product Mass (illustrative total for calculation): Approx. 3.6 kg/unit (from BOM)</w:t>
      </w:r>
    </w:p>
    <w:p>
      <w:pPr>
        <w:numPr>
          <w:ilvl w:val="1"/>
          <w:numId w:val="1011"/>
        </w:numPr>
        <w:pStyle w:val="Compact"/>
      </w:pPr>
      <w:r>
        <w:t xml:space="preserve">Recyclability Percentage: xjlpziyefp (70%)</w:t>
      </w:r>
    </w:p>
    <w:p>
      <w:pPr>
        <w:numPr>
          <w:ilvl w:val="1"/>
          <w:numId w:val="1011"/>
        </w:numPr>
        <w:pStyle w:val="Compact"/>
      </w:pPr>
      <w:r>
        <w:t xml:space="preserve">Circular/Take-back Programs: emriwgujez (Product buy-back and refurbishment program) - This would typically lead to avoided emissions by extending product life, reducing need for new production. For simplified calculation, we focus on recyclability.</w:t>
      </w:r>
    </w:p>
    <w:p>
      <w:pPr>
        <w:numPr>
          <w:ilvl w:val="1"/>
          <w:numId w:val="1011"/>
        </w:numPr>
        <w:pStyle w:val="Compact"/>
      </w:pPr>
      <w:r>
        <w:rPr>
          <w:bCs/>
          <w:b/>
        </w:rPr>
        <w:t xml:space="preserve">Recycled Material Credit:</w:t>
      </w:r>
      <w:r>
        <w:t xml:space="preserve"> </w:t>
      </w:r>
      <w:r>
        <w:t xml:space="preserve">Assuming 70% of 3.6 kg is recycled = 2.52 kg. Illustrative credit of -1.0 kg CO2e/kg for recycled materials (e.g., plastics, metals).</w:t>
      </w:r>
      <w:r>
        <w:br/>
      </w:r>
      <w:r>
        <w:t xml:space="preserve">Credit: 2.52 kg * -1.0 kg CO2e/kg = -2.52 kg CO2e/unit</w:t>
      </w:r>
    </w:p>
    <w:p>
      <w:pPr>
        <w:numPr>
          <w:ilvl w:val="1"/>
          <w:numId w:val="1011"/>
        </w:numPr>
        <w:pStyle w:val="Compact"/>
      </w:pPr>
      <w:r>
        <w:rPr>
          <w:bCs/>
          <w:b/>
        </w:rPr>
        <w:t xml:space="preserve">Landfilled/Incinerated Emissions:</w:t>
      </w:r>
      <w:r>
        <w:t xml:space="preserve"> </w:t>
      </w:r>
      <w:r>
        <w:t xml:space="preserve">Remaining 30% of 3.6 kg = 1.08 kg. Illustrative emissions for disposal (e.g., 0.1 kg CO2e/kg).</w:t>
      </w:r>
      <w:r>
        <w:br/>
      </w:r>
      <w:r>
        <w:t xml:space="preserve">Emissions: 1.08 kg * 0.1 kg CO2e/kg = 0.11 kg CO2e/unit</w:t>
      </w:r>
    </w:p>
    <w:p>
      <w:pPr>
        <w:pStyle w:val="FirstParagraph"/>
      </w:pPr>
      <w:r>
        <w:rPr>
          <w:bCs/>
          <w:b/>
        </w:rPr>
        <w:t xml:space="preserve">Total Downstream Emissions (Illustrative): 15.00 kg CO2e (Use Phase) - 2.52 kg CO2e (Recycling Credit) + 0.11 kg CO2e (Disposal) = 12.59 kg CO2e/unit</w:t>
      </w:r>
    </w:p>
    <w:bookmarkEnd w:id="32"/>
    <w:bookmarkStart w:id="33" w:name="X7fc55497565ff523e22dc118b8185658f7b9ce1"/>
    <w:p>
      <w:pPr>
        <w:pStyle w:val="Heading4"/>
      </w:pPr>
      <w:r>
        <w:t xml:space="preserve">Application of 2026 Land Sector and Removals (LSR) Standard</w:t>
      </w:r>
    </w:p>
    <w:p>
      <w:pPr>
        <w:pStyle w:val="FirstParagraph"/>
      </w:pPr>
      <w:r>
        <w:t xml:space="preserve">The 2026 LSR Standard is integrated by carefully tracking any land use change emissions or removals associated with the raw materials (e.g., biomass-derived materials, forestry products) or the manufacturing footprint. For stwwgdgnjg, if any raw materials had a significant land-use component (e.g., wood pulp for packaging), the associated CO2e emissions or removals would be quantified and reported under the relevant Scope 3 categories. Without specific data, we acknowledge this standard is applied by ensuring that relevant emission factors for land-intensive materials incorporate LSR considerations, and by identifying any direct land-use changes within vreurhvyfi\'s operations if the system boundary extended beyond \'factory_gate\' for the organization\'s footprint.</w:t>
      </w:r>
    </w:p>
    <w:bookmarkEnd w:id="33"/>
    <w:bookmarkEnd w:id="34"/>
    <w:bookmarkStart w:id="35" w:name="X9b435f9006cf04294f943c0bc3e88ac8be6bd1a"/>
    <w:p>
      <w:pPr>
        <w:pStyle w:val="Heading3"/>
      </w:pPr>
      <w:r>
        <w:t xml:space="preserve">Total Product Carbon Footprint (Illustrative)</w:t>
      </w:r>
    </w:p>
    <w:p>
      <w:pPr>
        <w:pStyle w:val="FirstParagraph"/>
      </w:pPr>
      <w:r>
        <w:rPr>
          <w:bCs/>
          <w:b/>
        </w:rPr>
        <w:t xml:space="preserve">Total PCF = Scope 2 Emissions + Total Upstream Scope 3 Emissions + Total Downstream Scope 3 Emissions</w:t>
      </w:r>
    </w:p>
    <w:p>
      <w:pPr>
        <w:pStyle w:val="BodyText"/>
      </w:pPr>
      <w:r>
        <w:t xml:space="preserve">Total PCF = 0.875 kg CO2e + 10.96 kg CO2e + 12.59 kg CO2e = 24.425 kg CO2e/unit</w:t>
      </w:r>
    </w:p>
    <w:p>
      <w:pPr>
        <w:pStyle w:val="BodyText"/>
      </w:pPr>
      <w:r>
        <w:rPr>
          <w:bCs/>
          <w:b/>
        </w:rPr>
        <w:t xml:space="preserve">Illustrative Total Product Carbon Footprint for stwwgdgnjg: 24.43 kg CO2e/unit</w:t>
      </w:r>
    </w:p>
    <w:p>
      <w:r>
        <w:pict>
          <v:rect style="width:0;height:1.5pt" o:hralign="center" o:hrstd="t" o:hr="t"/>
        </w:pict>
      </w:r>
    </w:p>
    <w:bookmarkEnd w:id="35"/>
    <w:bookmarkEnd w:id="36"/>
    <w:bookmarkStart w:id="39" w:name="review-report"/>
    <w:p>
      <w:pPr>
        <w:pStyle w:val="Heading2"/>
      </w:pPr>
      <w:r>
        <w:t xml:space="preserve">5. Review &amp; Report</w:t>
      </w:r>
    </w:p>
    <w:bookmarkStart w:id="37" w:name="emission-hotspots-illustrative"/>
    <w:p>
      <w:pPr>
        <w:pStyle w:val="Heading3"/>
      </w:pPr>
      <w:r>
        <w:t xml:space="preserve">Emission Hotspots (Illustrative)</w:t>
      </w:r>
    </w:p>
    <w:p>
      <w:pPr>
        <w:pStyle w:val="FirstParagraph"/>
      </w:pPr>
      <w:r>
        <w:t xml:space="preserve">Based on this illustrative analysis, the primary emission hotspots for stwwgdgnjg are:</w:t>
      </w:r>
    </w:p>
    <w:p>
      <w:pPr>
        <w:numPr>
          <w:ilvl w:val="0"/>
          <w:numId w:val="1012"/>
        </w:numPr>
        <w:pStyle w:val="Compact"/>
      </w:pPr>
      <w:r>
        <w:rPr>
          <w:bCs/>
          <w:b/>
        </w:rPr>
        <w:t xml:space="preserve">Raw Materials (especially Lithium-ion Battery and Plastics):</w:t>
      </w:r>
      <w:r>
        <w:t xml:space="preserve"> </w:t>
      </w:r>
      <w:r>
        <w:t xml:space="preserve">Representing a significant portion of upstream emissions (approx. 43% of total PCF).</w:t>
      </w:r>
    </w:p>
    <w:p>
      <w:pPr>
        <w:numPr>
          <w:ilvl w:val="0"/>
          <w:numId w:val="1012"/>
        </w:numPr>
        <w:pStyle w:val="Compact"/>
      </w:pPr>
      <w:r>
        <w:rPr>
          <w:bCs/>
          <w:b/>
        </w:rPr>
        <w:t xml:space="preserve">Use Phase Energy Consumption:</w:t>
      </w:r>
      <w:r>
        <w:t xml:space="preserve"> </w:t>
      </w:r>
      <w:r>
        <w:t xml:space="preserve">Contributing substantially to downstream emissions (approx. 61% of downstream PCF, or 61% of total for Scope 3 downstream).</w:t>
      </w:r>
    </w:p>
    <w:p>
      <w:pPr>
        <w:numPr>
          <w:ilvl w:val="0"/>
          <w:numId w:val="1012"/>
        </w:numPr>
        <w:pStyle w:val="Compact"/>
      </w:pPr>
      <w:r>
        <w:rPr>
          <w:bCs/>
          <w:b/>
        </w:rPr>
        <w:t xml:space="preserve">Production Energy (Scope 2):</w:t>
      </w:r>
      <w:r>
        <w:t xml:space="preserve"> </w:t>
      </w:r>
      <w:r>
        <w:t xml:space="preserve">While reduced by renewable energy usage, still a contributor.</w:t>
      </w:r>
    </w:p>
    <w:bookmarkEnd w:id="37"/>
    <w:bookmarkStart w:id="38" w:name="reliability-and-recommendations"/>
    <w:p>
      <w:pPr>
        <w:pStyle w:val="Heading3"/>
      </w:pPr>
      <w:r>
        <w:t xml:space="preserve">Reliability and Recommendations</w:t>
      </w:r>
    </w:p>
    <w:p>
      <w:pPr>
        <w:pStyle w:val="FirstParagraph"/>
      </w:pPr>
      <w:r>
        <w:t xml:space="preserve">The reliability of this PCF analysis is contingent on the accuracy and completeness of the provided input data. While illustrative data has been used where specific figures were placeholders, the methodology adheres strictly to GHG Protocol standards.</w:t>
      </w:r>
    </w:p>
    <w:p>
      <w:pPr>
        <w:pStyle w:val="BodyText"/>
      </w:pPr>
      <w:r>
        <w:rPr>
          <w:bCs/>
          <w:b/>
        </w:rPr>
        <w:t xml:space="preserve">Recommendations for vreurhvyfi to reduce the PCF of stwwgdgnjg:</w:t>
      </w:r>
    </w:p>
    <w:p>
      <w:pPr>
        <w:numPr>
          <w:ilvl w:val="0"/>
          <w:numId w:val="1013"/>
        </w:numPr>
        <w:pStyle w:val="Compact"/>
      </w:pPr>
      <w:r>
        <w:rPr>
          <w:bCs/>
          <w:b/>
        </w:rPr>
        <w:t xml:space="preserve">Material Optimization:</w:t>
      </w:r>
      <w:r>
        <w:t xml:space="preserve"> </w:t>
      </w:r>
      <w:r>
        <w:t xml:space="preserve">Investigate alternative, lower-carbon materials for high-impact components like batteries and plastics. Explore design for modularity to simplify component replacement and upgrade.</w:t>
      </w:r>
    </w:p>
    <w:p>
      <w:pPr>
        <w:numPr>
          <w:ilvl w:val="0"/>
          <w:numId w:val="1013"/>
        </w:numPr>
        <w:pStyle w:val="Compact"/>
      </w:pPr>
      <w:r>
        <w:rPr>
          <w:bCs/>
          <w:b/>
        </w:rPr>
        <w:t xml:space="preserve">Enhanced Circularity:</w:t>
      </w:r>
      <w:r>
        <w:t xml:space="preserve"> </w:t>
      </w:r>
      <w:r>
        <w:t xml:space="preserve">Strengthen existing take-back programs (emriwgujez) to maximize product refurbishment and component reuse, moving beyond just recycling. Aim to increase the recyclability percentage (xjlpziyefp) further through material selection and design.</w:t>
      </w:r>
    </w:p>
    <w:p>
      <w:pPr>
        <w:numPr>
          <w:ilvl w:val="0"/>
          <w:numId w:val="1013"/>
        </w:numPr>
        <w:pStyle w:val="Compact"/>
      </w:pPr>
      <w:r>
        <w:rPr>
          <w:bCs/>
          <w:b/>
        </w:rPr>
        <w:t xml:space="preserve">Renewable Energy Sourcing:</w:t>
      </w:r>
      <w:r>
        <w:t xml:space="preserve"> </w:t>
      </w:r>
      <w:r>
        <w:t xml:space="preserve">Increase the percentage of renewable energy (pxpginetiy) used in manufacturing to further reduce Scope 2 emissions. Explore options for virtual power purchase agreements or on-site renewable generation.</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(oqtwjeirpg). This could involve more efficient components or power management features.</w:t>
      </w:r>
    </w:p>
    <w:p>
      <w:pPr>
        <w:numPr>
          <w:ilvl w:val="0"/>
          <w:numId w:val="1013"/>
        </w:numPr>
        <w:pStyle w:val="Compact"/>
      </w:pPr>
      <w:r>
        <w:rPr>
          <w:bCs/>
          <w:b/>
        </w:rPr>
        <w:t xml:space="preserve">Supply Chain Engagement:</w:t>
      </w:r>
      <w:r>
        <w:t xml:space="preserve"> </w:t>
      </w:r>
      <w:r>
        <w:t xml:space="preserve">Collaborate with key suppliers to obtain primary data for their processes and encourage their transition to lower-carbon manufacturing and logistics.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stwwgdgnjg</dc:title>
  <dc:creator/>
  <dc:description>Product Carbon Footprint (PCF) analysis report for stwwgdgnjg, conducted by Senior Sustainability Consultant ozgqmsszgt for vreurhvyfi, adhering to GHG Protocol standards and 2026 LSR update.</dc:description>
  <cp:keywords/>
  <dcterms:created xsi:type="dcterms:W3CDTF">2026-05-30T19:00:14Z</dcterms:created>
  <dcterms:modified xsi:type="dcterms:W3CDTF">2026-05-30T19:00:14Z</dcterms:modified>
</cp:coreProperties>
</file>

<file path=docProps/custom.xml><?xml version="1.0" encoding="utf-8"?>
<Properties xmlns="http://schemas.openxmlformats.org/officeDocument/2006/custom-properties" xmlns:vt="http://schemas.openxmlformats.org/officeDocument/2006/docPropsVTypes"/>
</file>