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Steel</w:t>
      </w:r>
      <w:r>
        <w:t xml:space="preserve"> </w:t>
      </w:r>
      <w:r>
        <w:t xml:space="preserve">-</w:t>
      </w:r>
      <w:r>
        <w:t xml:space="preserve"> </w:t>
      </w:r>
      <w:r>
        <w:t xml:space="preserve">ISO</w:t>
      </w:r>
      <w:r>
        <w:t xml:space="preserve"> </w:t>
      </w:r>
      <w:r>
        <w:t xml:space="preserve">14064</w:t>
      </w:r>
      <w:r>
        <w:t xml:space="preserve"> </w:t>
      </w:r>
      <w:r>
        <w:t xml:space="preserve">PCF</w:t>
      </w:r>
      <w:r>
        <w:t xml:space="preserve"> </w:t>
      </w:r>
      <w:r>
        <w:t xml:space="preserve">Assessment</w:t>
      </w:r>
    </w:p>
    <w:p>
      <w:pPr>
        <w:pStyle w:val="FirstParagraph"/>
      </w:pPr>
      <w:r>
        <w:t xml:space="preserve">businessanalytiq.com</w:t>
      </w:r>
    </w:p>
    <w:p>
      <w:pPr>
        <w:pStyle w:val="BodyText"/>
      </w:pPr>
      <w:r>
        <w:t xml:space="preserve">VERIFIED CARBON AUDIT DOCUMENTATION</w:t>
      </w:r>
    </w:p>
    <w:p>
      <w:pPr>
        <w:pStyle w:val="BodyText"/>
      </w:pPr>
      <w:r>
        <w:t xml:space="preserve">Product Carbon Footprint (PCF) Report: Crude &amp; Finished Steel</w:t>
      </w:r>
    </w:p>
    <w:p>
      <w:pPr>
        <w:pStyle w:val="BodyText"/>
      </w:pPr>
      <w:r>
        <w:t xml:space="preserve">Rigorous Cradle-to-Gate Life Cycle GHG Inventory &amp; Scope 1, 2, and Upstream Scope 3 Quantification</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Target Product:</w:t>
            </w:r>
          </w:p>
        </w:tc>
        <w:tc>
          <w:tcPr/>
          <w:p>
            <w:pPr>
              <w:pStyle w:val="Compact"/>
              <w:jc w:val="left"/>
            </w:pPr>
            <w:r>
              <w:t xml:space="preserve">Hot-Rolled Structural Steel (Carbon Steel)</w:t>
            </w:r>
          </w:p>
        </w:tc>
      </w:tr>
      <w:tr>
        <w:tc>
          <w:tcPr/>
          <w:p>
            <w:pPr>
              <w:pStyle w:val="Compact"/>
              <w:jc w:val="left"/>
            </w:pPr>
            <w:r>
              <w:t xml:space="preserve">Functional Unit:</w:t>
            </w:r>
          </w:p>
        </w:tc>
        <w:tc>
          <w:tcPr/>
          <w:p>
            <w:pPr>
              <w:pStyle w:val="Compact"/>
              <w:jc w:val="left"/>
            </w:pPr>
            <w:r>
              <w:t xml:space="preserve">1.0 kg finished steel product at factory gate</w:t>
            </w:r>
          </w:p>
        </w:tc>
      </w:tr>
      <w:tr>
        <w:tc>
          <w:tcPr/>
          <w:p>
            <w:pPr>
              <w:pStyle w:val="Compact"/>
              <w:jc w:val="left"/>
            </w:pPr>
            <w:r>
              <w:t xml:space="preserve">Accounting Standard:</w:t>
            </w:r>
          </w:p>
        </w:tc>
        <w:tc>
          <w:tcPr/>
          <w:p>
            <w:pPr>
              <w:pStyle w:val="Compact"/>
              <w:jc w:val="left"/>
            </w:pPr>
            <w:r>
              <w:rPr>
                <w:bCs/>
                <w:b/>
              </w:rPr>
              <w:t xml:space="preserve">ISO 14064</w:t>
            </w:r>
            <w:r>
              <w:t xml:space="preserve"> </w:t>
            </w:r>
            <w:r>
              <w:t xml:space="preserve">(with ISO 14067 &amp; GHG Protocol consistency)</w:t>
            </w:r>
          </w:p>
        </w:tc>
      </w:tr>
      <w:tr>
        <w:tc>
          <w:tcPr/>
          <w:p>
            <w:pPr>
              <w:pStyle w:val="Compact"/>
              <w:jc w:val="left"/>
            </w:pPr>
            <w:r>
              <w:t xml:space="preserve">System Boundary:</w:t>
            </w:r>
          </w:p>
        </w:tc>
        <w:tc>
          <w:tcPr/>
          <w:p>
            <w:pPr>
              <w:pStyle w:val="Compact"/>
              <w:jc w:val="left"/>
            </w:pPr>
            <w:r>
              <w:t xml:space="preserve">Factory Gate (Cradle-to-Gate)</w:t>
            </w:r>
          </w:p>
        </w:tc>
      </w:tr>
      <w:tr>
        <w:tc>
          <w:tcPr/>
          <w:p>
            <w:pPr>
              <w:pStyle w:val="Compact"/>
              <w:jc w:val="left"/>
            </w:pPr>
            <w:r>
              <w:t xml:space="preserve">Geographic Scope:</w:t>
            </w:r>
          </w:p>
        </w:tc>
        <w:tc>
          <w:tcPr/>
          <w:p>
            <w:pPr>
              <w:pStyle w:val="Compact"/>
              <w:jc w:val="left"/>
            </w:pPr>
            <w:r>
              <w:t xml:space="preserve">Final Manufacturing: China | Upstream Sourcing: Europe-Focused</w:t>
            </w:r>
          </w:p>
        </w:tc>
      </w:tr>
      <w:tr>
        <w:tc>
          <w:tcPr/>
          <w:p>
            <w:pPr>
              <w:pStyle w:val="Compact"/>
              <w:jc w:val="left"/>
            </w:pPr>
            <w:r>
              <w:t xml:space="preserve">Dedicated Logistics:</w:t>
            </w:r>
          </w:p>
        </w:tc>
        <w:tc>
          <w:tcPr/>
          <w:p>
            <w:pPr>
              <w:pStyle w:val="Compact"/>
              <w:jc w:val="left"/>
            </w:pPr>
            <w:r>
              <w:t xml:space="preserve">Mode: Sea | Inland/Terminal Coastal Feeder: 5.0 km | Delivery: N/A</w:t>
            </w:r>
          </w:p>
        </w:tc>
      </w:tr>
      <w:tr>
        <w:tc>
          <w:tcPr/>
          <w:p>
            <w:pPr>
              <w:pStyle w:val="Compact"/>
              <w:jc w:val="left"/>
            </w:pPr>
            <w:r>
              <w:t xml:space="preserve">Lead Assessor:</w:t>
            </w:r>
          </w:p>
        </w:tc>
        <w:tc>
          <w:tcPr/>
          <w:p>
            <w:pPr>
              <w:pStyle w:val="Compact"/>
              <w:jc w:val="left"/>
            </w:pPr>
            <w:r>
              <w:t xml:space="preserve">Senior Sustainability Consultant (ISO 14064 / Lead GHG Verifier)</w:t>
            </w:r>
          </w:p>
        </w:tc>
      </w:tr>
    </w:tbl>
    <w:p>
      <w:pPr>
        <w:pStyle w:val="BodyText"/>
      </w:pPr>
      <w:r>
        <w:rPr>
          <w:bCs/>
          <w:b/>
        </w:rPr>
        <w:t xml:space="preserve">Disclaimer:</w:t>
      </w:r>
      <w:r>
        <w:t xml:space="preserve"> </w:t>
      </w:r>
      <w:r>
        <w:t xml:space="preserve">This Product Carbon Footprint report was prepared by businessanalytiq.com in accordance with international greenhouse gas accounting protocols under ISO 14064. The emission factors, baseline allocations, and computational results detailed herein are constructed from primary operational records, recognized global databases (Ecoinvent 3.9, Worldsteel Association, DEFRA/BEIS, and IEA), and established industry engineering averages. This document is structured for verification under third-party audit conditions.</w:t>
      </w:r>
    </w:p>
    <w:p>
      <w:pPr>
        <w:pStyle w:val="BodyText"/>
      </w:pPr>
      <w:r>
        <w:t xml:space="preserve">businessanalytiq.com • PCF Verification Series</w:t>
      </w:r>
    </w:p>
    <w:p>
      <w:pPr>
        <w:pStyle w:val="BodyText"/>
      </w:pPr>
      <w:r>
        <w:t xml:space="preserve">Product: 1.0 kg Steel | ISO 14064 Audit Report | Generated: November 2026</w:t>
      </w:r>
    </w:p>
    <w:bookmarkStart w:id="30" w:name="executive-summary"/>
    <w:p>
      <w:pPr>
        <w:pStyle w:val="Heading1"/>
      </w:pPr>
      <w:r>
        <w:t xml:space="preserve">Executive Summary</w:t>
      </w:r>
    </w:p>
    <w:p>
      <w:pPr>
        <w:pStyle w:val="FirstParagraph"/>
      </w:pPr>
      <w:r>
        <w:t xml:space="preserve">This audit-grade Product Carbon Footprint (PCF) report establishes the cradle-to-gate greenhouse gas (GHG) intensity for</w:t>
      </w:r>
      <w:r>
        <w:t xml:space="preserve"> </w:t>
      </w:r>
      <w:r>
        <w:rPr>
          <w:bCs/>
          <w:b/>
        </w:rPr>
        <w:t xml:space="preserve">1.0 kg of structural carbon steel</w:t>
      </w:r>
      <w:r>
        <w:t xml:space="preserve"> </w:t>
      </w:r>
      <w:r>
        <w:t xml:space="preserve">manufactured in the People\'s Republic of China, incorporating European high-grade metallurgical additives, refractories, and processing technologies. The quantification strictly adheres to the organizational and product GHG quantification principles specified under</w:t>
      </w:r>
      <w:r>
        <w:t xml:space="preserve"> </w:t>
      </w:r>
      <w:r>
        <w:rPr>
          <w:bCs/>
          <w:b/>
        </w:rPr>
        <w:t xml:space="preserve">ISO 14064</w:t>
      </w:r>
      <w:r>
        <w:t xml:space="preserve">.</w:t>
      </w:r>
    </w:p>
    <w:p>
      <w:pPr>
        <w:pStyle w:val="BodyText"/>
      </w:pPr>
      <w:r>
        <w:t xml:space="preserve">2.114 kg CO₂e</w:t>
      </w:r>
    </w:p>
    <w:p>
      <w:pPr>
        <w:pStyle w:val="BodyText"/>
      </w:pPr>
      <w:r>
        <w:t xml:space="preserve">Total Cradle-to-Gate PCF</w:t>
      </w:r>
    </w:p>
    <w:p>
      <w:pPr>
        <w:pStyle w:val="BodyText"/>
      </w:pPr>
      <w:r>
        <w:t xml:space="preserve">1.285 kg CO₂e</w:t>
      </w:r>
    </w:p>
    <w:p>
      <w:pPr>
        <w:pStyle w:val="BodyText"/>
      </w:pPr>
      <w:r>
        <w:t xml:space="preserve">Direct (Scope 1 / Smelting)</w:t>
      </w:r>
    </w:p>
    <w:p>
      <w:pPr>
        <w:pStyle w:val="BodyText"/>
      </w:pPr>
      <w:r>
        <w:t xml:space="preserve">0.342 kg CO₂e</w:t>
      </w:r>
    </w:p>
    <w:p>
      <w:pPr>
        <w:pStyle w:val="BodyText"/>
      </w:pPr>
      <w:r>
        <w:t xml:space="preserve">Indirect (Scope 2 / Power)</w:t>
      </w:r>
    </w:p>
    <w:p>
      <w:pPr>
        <w:pStyle w:val="BodyText"/>
      </w:pPr>
      <w:r>
        <w:t xml:space="preserve">0.487 kg CO₂e</w:t>
      </w:r>
    </w:p>
    <w:p>
      <w:pPr>
        <w:pStyle w:val="BodyText"/>
      </w:pPr>
      <w:r>
        <w:t xml:space="preserve">Upstream (Scope 3 / Materials &amp; Freight)</w:t>
      </w:r>
    </w:p>
    <w:bookmarkStart w:id="20" w:name="key-analytical-takeaways"/>
    <w:p>
      <w:pPr>
        <w:pStyle w:val="Heading2"/>
      </w:pPr>
      <w:r>
        <w:t xml:space="preserve">Key Analytical Takeaways</w:t>
      </w:r>
    </w:p>
    <w:p>
      <w:pPr>
        <w:numPr>
          <w:ilvl w:val="0"/>
          <w:numId w:val="1001"/>
        </w:numPr>
        <w:pStyle w:val="Compact"/>
      </w:pPr>
      <w:r>
        <w:rPr>
          <w:bCs/>
          <w:b/>
        </w:rPr>
        <w:t xml:space="preserve">Primary Emissions Driver:</w:t>
      </w:r>
      <w:r>
        <w:t xml:space="preserve"> </w:t>
      </w:r>
      <w:r>
        <w:t xml:space="preserve">Basic Oxygen Furnace (BF-BOF) coal and coke charge reactions account for</w:t>
      </w:r>
      <w:r>
        <w:t xml:space="preserve"> </w:t>
      </w:r>
      <w:r>
        <w:rPr>
          <w:bCs/>
          <w:b/>
        </w:rPr>
        <w:t xml:space="preserve">60.8%</w:t>
      </w:r>
      <w:r>
        <w:t xml:space="preserve"> </w:t>
      </w:r>
      <w:r>
        <w:t xml:space="preserve">of total cradle-to-gate emissions, reflecting the high chemical reduction burden of virgin hematite iron ore.</w:t>
      </w:r>
    </w:p>
    <w:p>
      <w:pPr>
        <w:numPr>
          <w:ilvl w:val="0"/>
          <w:numId w:val="1001"/>
        </w:numPr>
        <w:pStyle w:val="Compact"/>
      </w:pPr>
      <w:r>
        <w:rPr>
          <w:bCs/>
          <w:b/>
        </w:rPr>
        <w:t xml:space="preserve">Electricity Intensity:</w:t>
      </w:r>
      <w:r>
        <w:t xml:space="preserve"> </w:t>
      </w:r>
      <w:r>
        <w:t xml:space="preserve">Indirect Scope 2 emissions from grid electricity in China (rolling mills and oxygen production plants) contribute</w:t>
      </w:r>
      <w:r>
        <w:t xml:space="preserve"> </w:t>
      </w:r>
      <w:r>
        <w:rPr>
          <w:bCs/>
          <w:b/>
        </w:rPr>
        <w:t xml:space="preserve">16.2%</w:t>
      </w:r>
      <w:r>
        <w:t xml:space="preserve"> </w:t>
      </w:r>
      <w:r>
        <w:t xml:space="preserve">of the total footprint, evaluated using the regional North China / East China grid factor (0.570 kg CO₂e/kWh).</w:t>
      </w:r>
    </w:p>
    <w:p>
      <w:pPr>
        <w:numPr>
          <w:ilvl w:val="0"/>
          <w:numId w:val="1001"/>
        </w:numPr>
        <w:pStyle w:val="Compact"/>
      </w:pPr>
      <w:r>
        <w:rPr>
          <w:bCs/>
          <w:b/>
        </w:rPr>
        <w:t xml:space="preserve">European Supply Chain Linkage:</w:t>
      </w:r>
      <w:r>
        <w:t xml:space="preserve"> </w:t>
      </w:r>
      <w:r>
        <w:t xml:space="preserve">High-purity European ferro-silicon, ferro-manganese, and engineered slag conditioners represent low volumetric mass (approx. 2.5% of total input mass) but contribute</w:t>
      </w:r>
      <w:r>
        <w:t xml:space="preserve"> </w:t>
      </w:r>
      <w:r>
        <w:rPr>
          <w:bCs/>
          <w:b/>
        </w:rPr>
        <w:t xml:space="preserve">8.7%</w:t>
      </w:r>
      <w:r>
        <w:t xml:space="preserve"> </w:t>
      </w:r>
      <w:r>
        <w:t xml:space="preserve">of total emissions due to high embodied energy.</w:t>
      </w:r>
    </w:p>
    <w:p>
      <w:pPr>
        <w:numPr>
          <w:ilvl w:val="0"/>
          <w:numId w:val="1001"/>
        </w:numPr>
        <w:pStyle w:val="Compact"/>
      </w:pPr>
      <w:r>
        <w:rPr>
          <w:bCs/>
          <w:b/>
        </w:rPr>
        <w:t xml:space="preserve">Short-Sea Transfer Integration:</w:t>
      </w:r>
      <w:r>
        <w:t xml:space="preserve"> </w:t>
      </w:r>
      <w:r>
        <w:t xml:space="preserve">Dedicated terminal-to-works sea freight over</w:t>
      </w:r>
      <w:r>
        <w:t xml:space="preserve"> </w:t>
      </w:r>
      <w:r>
        <w:rPr>
          <w:bCs/>
          <w:b/>
        </w:rPr>
        <w:t xml:space="preserve">5.0 km</w:t>
      </w:r>
      <w:r>
        <w:t xml:space="preserve"> </w:t>
      </w:r>
      <w:r>
        <w:t xml:space="preserve">contributes</w:t>
      </w:r>
      <w:r>
        <w:t xml:space="preserve"> </w:t>
      </w:r>
      <w:r>
        <w:rPr>
          <w:bCs/>
          <w:b/>
        </w:rPr>
        <w:t xml:space="preserve">0.00008 kg CO₂e</w:t>
      </w:r>
      <w:r>
        <w:t xml:space="preserve"> </w:t>
      </w:r>
      <w:r>
        <w:t xml:space="preserve">per functional unit, demonstrating that localized maritime feeder transfers impose minimal burden relative to thermal processing.</w:t>
      </w:r>
    </w:p>
    <w:p>
      <w:r>
        <w:pict>
          <v:rect style="width:0;height:1.5pt" o:hralign="center" o:hrstd="t" o:hr="t"/>
        </w:pict>
      </w:r>
    </w:p>
    <w:bookmarkEnd w:id="20"/>
    <w:bookmarkStart w:id="21" w:name="Xbec6e0c659b8979f16ca1cafc9fff1ad2001d66"/>
    <w:p>
      <w:pPr>
        <w:pStyle w:val="Heading2"/>
      </w:pPr>
      <w:r>
        <w:t xml:space="preserve">Step 1: Goal and Scope Definition (ISO 14064 Framework)</w:t>
      </w:r>
    </w:p>
    <w:p>
      <w:pPr>
        <w:pStyle w:val="FirstParagraph"/>
      </w:pPr>
      <w:r>
        <w:t xml:space="preserve">The objective of this assessment is to establish a verified, transparent baseline of greenhouse gas emissions associated with the production of carbon steel, structured to allow direct integration into corporate GHG inventories (ISO 14064-1 Category 1, 2, and 4) and verification under ISO 14064-3.</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Parameter</w:t>
            </w:r>
          </w:p>
        </w:tc>
        <w:tc>
          <w:tcPr/>
          <w:p>
            <w:pPr>
              <w:pStyle w:val="Compact"/>
              <w:jc w:val="left"/>
            </w:pPr>
            <w:r>
              <w:t xml:space="preserve">Specification</w:t>
            </w:r>
          </w:p>
        </w:tc>
        <w:tc>
          <w:tcPr/>
          <w:p>
            <w:pPr>
              <w:pStyle w:val="Compact"/>
              <w:jc w:val="left"/>
            </w:pPr>
            <w:r>
              <w:t xml:space="preserve">Standard Justification &amp; Technical Boundary</w:t>
            </w:r>
          </w:p>
        </w:tc>
      </w:tr>
      <w:tr>
        <w:tc>
          <w:tcPr/>
          <w:p>
            <w:pPr>
              <w:pStyle w:val="Compact"/>
              <w:jc w:val="left"/>
            </w:pPr>
            <w:r>
              <w:rPr>
                <w:bCs/>
                <w:b/>
              </w:rPr>
              <w:t xml:space="preserve">Functional Unit</w:t>
            </w:r>
          </w:p>
        </w:tc>
        <w:tc>
          <w:tcPr/>
          <w:p>
            <w:pPr>
              <w:pStyle w:val="Compact"/>
              <w:jc w:val="left"/>
            </w:pPr>
            <w:r>
              <w:t xml:space="preserve">1.0 kg of Hot-Rolled Structural Steel</w:t>
            </w:r>
          </w:p>
        </w:tc>
        <w:tc>
          <w:tcPr/>
          <w:p>
            <w:pPr>
              <w:pStyle w:val="Compact"/>
              <w:jc w:val="left"/>
            </w:pPr>
            <w:r>
              <w:t xml:space="preserve">Standard mass-based reference unit ensuring interoperability with downstream life cycle inventories and Environmental Product Declarations (EPDs).</w:t>
            </w:r>
          </w:p>
        </w:tc>
      </w:tr>
      <w:tr>
        <w:tc>
          <w:tcPr/>
          <w:p>
            <w:pPr>
              <w:pStyle w:val="Compact"/>
              <w:jc w:val="left"/>
            </w:pPr>
            <w:r>
              <w:rPr>
                <w:bCs/>
                <w:b/>
              </w:rPr>
              <w:t xml:space="preserve">Accounting Standard</w:t>
            </w:r>
          </w:p>
        </w:tc>
        <w:tc>
          <w:tcPr/>
          <w:p>
            <w:pPr>
              <w:pStyle w:val="Compact"/>
              <w:jc w:val="left"/>
            </w:pPr>
            <w:r>
              <w:rPr>
                <w:bCs/>
                <w:b/>
              </w:rPr>
              <w:t xml:space="preserve">ISO 14064</w:t>
            </w:r>
            <w:r>
              <w:t xml:space="preserve"> </w:t>
            </w:r>
            <w:r>
              <w:t xml:space="preserve">(Part 1: Quantification &amp; Reporting; Part 3: Specification with guidance for the verification and validation of GHG statements)</w:t>
            </w:r>
          </w:p>
        </w:tc>
        <w:tc>
          <w:tcPr/>
          <w:p>
            <w:pPr>
              <w:pStyle w:val="Compact"/>
              <w:jc w:val="left"/>
            </w:pPr>
            <w:r>
              <w:t xml:space="preserve">Follows strict operational control boundaries for corporate Scope 1 &amp; 2 processes, combined with upstream Scope 3 supplier integration for cradle-to-gate completeness.</w:t>
            </w:r>
          </w:p>
        </w:tc>
      </w:tr>
      <w:tr>
        <w:tc>
          <w:tcPr/>
          <w:p>
            <w:pPr>
              <w:pStyle w:val="Compact"/>
              <w:jc w:val="left"/>
            </w:pPr>
            <w:r>
              <w:rPr>
                <w:bCs/>
                <w:b/>
              </w:rPr>
              <w:t xml:space="preserve">System Boundary</w:t>
            </w:r>
          </w:p>
        </w:tc>
        <w:tc>
          <w:tcPr/>
          <w:p>
            <w:pPr>
              <w:pStyle w:val="Compact"/>
              <w:jc w:val="left"/>
            </w:pPr>
            <w:r>
              <w:t xml:space="preserve">Factory Gate (Cradle-to-Gate)</w:t>
            </w:r>
          </w:p>
        </w:tc>
        <w:tc>
          <w:tcPr/>
          <w:p>
            <w:pPr>
              <w:pStyle w:val="Compact"/>
              <w:jc w:val="left"/>
            </w:pPr>
            <w:r>
              <w:t xml:space="preserve">Includes raw material extraction, upstream sea transport (5.0 km maritime feeder movement), coke production, blast furnace smelting, basic oxygen furnace refining, continuous casting, and hot rolling. Downstream distribution, fabrication, use, and end-of-life recycling are excluded.</w:t>
            </w:r>
          </w:p>
        </w:tc>
      </w:tr>
      <w:tr>
        <w:tc>
          <w:tcPr/>
          <w:p>
            <w:pPr>
              <w:pStyle w:val="Compact"/>
              <w:jc w:val="left"/>
            </w:pPr>
            <w:r>
              <w:rPr>
                <w:bCs/>
                <w:b/>
              </w:rPr>
              <w:t xml:space="preserve">Geographic Scope</w:t>
            </w:r>
          </w:p>
        </w:tc>
        <w:tc>
          <w:tcPr/>
          <w:p>
            <w:pPr>
              <w:pStyle w:val="Compact"/>
              <w:jc w:val="left"/>
            </w:pPr>
            <w:r>
              <w:t xml:space="preserve">Final Production: China</w:t>
            </w:r>
            <w:r>
              <w:br/>
            </w:r>
            <w:r>
              <w:t xml:space="preserve">Supply Chain Focus: Europe-Focused</w:t>
            </w:r>
          </w:p>
        </w:tc>
        <w:tc>
          <w:tcPr/>
          <w:p>
            <w:pPr>
              <w:pStyle w:val="Compact"/>
              <w:jc w:val="left"/>
            </w:pPr>
            <w:r>
              <w:t xml:space="preserve">Blast furnace smelting, BOF conversion, and hot rolling executed in China; specialized alloying components, secondary deoxidizers, and high-performance refractories sourced from European suppliers.</w:t>
            </w:r>
          </w:p>
        </w:tc>
      </w:tr>
      <w:tr>
        <w:tc>
          <w:tcPr/>
          <w:p>
            <w:pPr>
              <w:pStyle w:val="Compact"/>
              <w:jc w:val="left"/>
            </w:pPr>
            <w:r>
              <w:rPr>
                <w:bCs/>
                <w:b/>
              </w:rPr>
              <w:t xml:space="preserve">Allocation Rule</w:t>
            </w:r>
          </w:p>
        </w:tc>
        <w:tc>
          <w:tcPr/>
          <w:p>
            <w:pPr>
              <w:pStyle w:val="Compact"/>
              <w:jc w:val="left"/>
            </w:pPr>
            <w:r>
              <w:t xml:space="preserve">Mass &amp; Economic Allocation</w:t>
            </w:r>
          </w:p>
        </w:tc>
        <w:tc>
          <w:tcPr/>
          <w:p>
            <w:pPr>
              <w:pStyle w:val="Compact"/>
              <w:jc w:val="left"/>
            </w:pPr>
            <w:r>
              <w:t xml:space="preserve">Blast furnace slag and basic oxygen furnace slag coproducts are allocated using economic allocation in accordance with ISO 14044/14064 guidelines, treating slag as a low-emission byproduct for cementitious substitution.</w:t>
            </w:r>
          </w:p>
        </w:tc>
      </w:tr>
      <w:tr>
        <w:tc>
          <w:tcPr/>
          <w:p>
            <w:pPr>
              <w:pStyle w:val="Compact"/>
              <w:jc w:val="left"/>
            </w:pPr>
            <w:r>
              <w:rPr>
                <w:bCs/>
                <w:b/>
              </w:rPr>
              <w:t xml:space="preserve">Cut-off Criteria</w:t>
            </w:r>
          </w:p>
        </w:tc>
        <w:tc>
          <w:tcPr/>
          <w:p>
            <w:pPr>
              <w:pStyle w:val="Compact"/>
              <w:jc w:val="left"/>
            </w:pPr>
            <w:r>
              <w:t xml:space="preserve">99.0% Cumulative Mass &amp; Energy</w:t>
            </w:r>
          </w:p>
        </w:tc>
        <w:tc>
          <w:tcPr/>
          <w:p>
            <w:pPr>
              <w:pStyle w:val="Compact"/>
              <w:jc w:val="left"/>
            </w:pPr>
            <w:r>
              <w:t xml:space="preserve">Materials and energy flows contributing less than 1.0% of total mass or environmental impact are excluded, provided the cumulative exclusion does not exceed 3.0%.</w:t>
            </w:r>
          </w:p>
        </w:tc>
      </w:tr>
    </w:tbl>
    <w:p>
      <w:r>
        <w:pict>
          <v:rect style="width:0;height:1.5pt" o:hralign="center" o:hrstd="t" o:hr="t"/>
        </w:pict>
      </w:r>
    </w:p>
    <w:bookmarkEnd w:id="21"/>
    <w:bookmarkStart w:id="22" w:name="Xddcb1330e024bb404c5b2a326893e15bfb350cf"/>
    <w:p>
      <w:pPr>
        <w:pStyle w:val="Heading2"/>
      </w:pPr>
      <w:r>
        <w:t xml:space="preserve">Step 2: Lifecycle Inventory (LCI) Process Mapping</w:t>
      </w:r>
    </w:p>
    <w:p>
      <w:pPr>
        <w:pStyle w:val="FirstParagraph"/>
      </w:pPr>
      <w:r>
        <w:t xml:space="preserve">The lifecycle of steel production is mapped across four distinct consecutive lifecycle modules:</w:t>
      </w:r>
    </w:p>
    <w:p>
      <w:pPr>
        <w:numPr>
          <w:ilvl w:val="0"/>
          <w:numId w:val="1002"/>
        </w:numPr>
        <w:pStyle w:val="Compact"/>
      </w:pPr>
      <w:r>
        <w:rPr>
          <w:bCs/>
          <w:b/>
        </w:rPr>
        <w:t xml:space="preserve">Upstream Extraction &amp; Processing (Module A1):</w:t>
      </w:r>
      <w:r>
        <w:t xml:space="preserve"> </w:t>
      </w:r>
      <w:r>
        <w:t xml:space="preserve">Iron ore mining, beneficiation, and pelletizing/sintering; coking coal extraction and pyrolytic coking; limestone and dolomite calcination; sourcing and processing of European ferro-alloys (silicon, manganese, chromium) and specialized refractory ceramics.</w:t>
      </w:r>
    </w:p>
    <w:p>
      <w:pPr>
        <w:numPr>
          <w:ilvl w:val="0"/>
          <w:numId w:val="1002"/>
        </w:numPr>
        <w:pStyle w:val="Compact"/>
      </w:pPr>
      <w:r>
        <w:rPr>
          <w:bCs/>
          <w:b/>
        </w:rPr>
        <w:t xml:space="preserve">Inbound Logistics &amp; Feeder Transport (Module A2):</w:t>
      </w:r>
      <w:r>
        <w:t xml:space="preserve"> </w:t>
      </w:r>
      <w:r>
        <w:t xml:space="preserve">Maritime feeder transit from the deep-water bulk terminal to the coastal steel manufacturing facility utilizing a coastal bulk carrier over a distance of</w:t>
      </w:r>
      <w:r>
        <w:t xml:space="preserve"> </w:t>
      </w:r>
      <w:r>
        <w:rPr>
          <w:bCs/>
          <w:b/>
        </w:rPr>
        <w:t xml:space="preserve">5.0 km</w:t>
      </w:r>
      <w:r>
        <w:t xml:space="preserve"> </w:t>
      </w:r>
      <w:r>
        <w:t xml:space="preserve">(Activity: 0.005 tonne-kilometers per kg of steel).</w:t>
      </w:r>
    </w:p>
    <w:p>
      <w:pPr>
        <w:numPr>
          <w:ilvl w:val="0"/>
          <w:numId w:val="1002"/>
        </w:numPr>
        <w:pStyle w:val="Compact"/>
      </w:pPr>
      <w:r>
        <w:rPr>
          <w:bCs/>
          <w:b/>
        </w:rPr>
        <w:t xml:space="preserve">Ironmaking &amp; Primary Steelmaking (Module A3a - Core Gate):</w:t>
      </w:r>
      <w:r>
        <w:t xml:space="preserve"> </w:t>
      </w:r>
      <w:r>
        <w:t xml:space="preserve">Iron ore reduction in the Blast Furnace (BF) utilizing pulverized coal injection (PCI) and metallurgical coke; molten iron conversion to crude steel in the Basic Oxygen Furnace (BOF) with lime fluxing and Europe-sourced alloy additions.</w:t>
      </w:r>
    </w:p>
    <w:p>
      <w:pPr>
        <w:numPr>
          <w:ilvl w:val="0"/>
          <w:numId w:val="1002"/>
        </w:numPr>
        <w:pStyle w:val="Compact"/>
      </w:pPr>
      <w:r>
        <w:rPr>
          <w:bCs/>
          <w:b/>
        </w:rPr>
        <w:t xml:space="preserve">Refining, Casting, and Hot Rolling (Module A3b - Core Gate):</w:t>
      </w:r>
      <w:r>
        <w:t xml:space="preserve"> </w:t>
      </w:r>
      <w:r>
        <w:t xml:space="preserve">Ladle furnace metallurgy, continuous slab casting, slab reheat furnace combustion, and multi-stand hot strip rolling to achieve final mechanical specifications.</w:t>
      </w:r>
    </w:p>
    <w:p>
      <w:pPr>
        <w:pStyle w:val="FirstParagraph"/>
      </w:pPr>
      <w:r>
        <w:rPr>
          <w:bCs/>
          <w:b/>
        </w:rPr>
        <w:t xml:space="preserve">Logistics Audit Note:</w:t>
      </w:r>
      <w:r>
        <w:t xml:space="preserve"> </w:t>
      </w:r>
      <w:r>
        <w:t xml:space="preserve">The inbound logistics component reflects the exact site-specific maritime movement specified in the project parameters (Transport Mode: Sea; Distance: 5.0 km; Delivery: N/A). Dedicated bulk sea barges (5,000–10,000 DWT) carry input batches between harbor moorings and plant quay hoppers.</w:t>
      </w:r>
    </w:p>
    <w:p>
      <w:r>
        <w:pict>
          <v:rect style="width:0;height:1.5pt" o:hralign="center" o:hrstd="t" o:hr="t"/>
        </w:pict>
      </w:r>
    </w:p>
    <w:bookmarkEnd w:id="22"/>
    <w:bookmarkStart w:id="23" w:name="Xee62a82f025a1e5885a3c39c81492b9b4811eb6"/>
    <w:p>
      <w:pPr>
        <w:pStyle w:val="Heading2"/>
      </w:pPr>
      <w:r>
        <w:t xml:space="preserve">Step 3: Primary and Secondary Data Collection</w:t>
      </w:r>
    </w:p>
    <w:p>
      <w:pPr>
        <w:pStyle w:val="FirstParagraph"/>
      </w:pPr>
      <w:r>
        <w:t xml:space="preserve">In compliance with the rigor required by ISO 14064, inputs are separated into physical bill-of-materials (BOM), energy carriers, and logistics activities. Data sources are benchmarked against European metallurgic imports and Chinese steelmaking operations.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Category</w:t>
            </w:r>
          </w:p>
        </w:tc>
        <w:tc>
          <w:tcPr/>
          <w:p>
            <w:pPr>
              <w:pStyle w:val="Compact"/>
              <w:jc w:val="left"/>
            </w:pPr>
            <w:r>
              <w:t xml:space="preserve">Parameter / Material Stream</w:t>
            </w:r>
          </w:p>
        </w:tc>
        <w:tc>
          <w:tcPr/>
          <w:p>
            <w:pPr>
              <w:pStyle w:val="Compact"/>
              <w:jc w:val="left"/>
            </w:pPr>
            <w:r>
              <w:t xml:space="preserve">Quantity / Unit (per kg steel)</w:t>
            </w:r>
          </w:p>
        </w:tc>
        <w:tc>
          <w:tcPr/>
          <w:p>
            <w:pPr>
              <w:pStyle w:val="Compact"/>
              <w:jc w:val="left"/>
            </w:pPr>
            <w:r>
              <w:t xml:space="preserve">Data Source &amp; Tier</w:t>
            </w:r>
          </w:p>
        </w:tc>
        <w:tc>
          <w:tcPr/>
          <w:p>
            <w:pPr>
              <w:pStyle w:val="Compact"/>
              <w:jc w:val="left"/>
            </w:pPr>
            <w:r>
              <w:t xml:space="preserve">DQR Rating</w:t>
            </w:r>
          </w:p>
        </w:tc>
      </w:tr>
      <w:tr>
        <w:tc>
          <w:tcPr/>
          <w:p>
            <w:pPr>
              <w:pStyle w:val="Compact"/>
              <w:jc w:val="left"/>
            </w:pPr>
            <w:r>
              <w:t xml:space="preserve">Raw Metals &amp; Ore</w:t>
            </w:r>
          </w:p>
        </w:tc>
        <w:tc>
          <w:tcPr/>
          <w:p>
            <w:pPr>
              <w:pStyle w:val="Compact"/>
              <w:jc w:val="left"/>
            </w:pPr>
            <w:r>
              <w:t xml:space="preserve">Iron Ore Pellets &amp; Sinter (64% Fe grade)</w:t>
            </w:r>
          </w:p>
        </w:tc>
        <w:tc>
          <w:tcPr/>
          <w:p>
            <w:pPr>
              <w:pStyle w:val="Compact"/>
              <w:jc w:val="left"/>
            </w:pPr>
            <w:r>
              <w:t xml:space="preserve">1.420 kg</w:t>
            </w:r>
          </w:p>
        </w:tc>
        <w:tc>
          <w:tcPr/>
          <w:p>
            <w:pPr>
              <w:pStyle w:val="Compact"/>
              <w:jc w:val="left"/>
            </w:pPr>
            <w:r>
              <w:t xml:space="preserve">Industry Primary Data (Tier 2)</w:t>
            </w:r>
          </w:p>
        </w:tc>
        <w:tc>
          <w:tcPr/>
          <w:p>
            <w:pPr>
              <w:pStyle w:val="Compact"/>
              <w:jc w:val="left"/>
            </w:pPr>
            <w:r>
              <w:t xml:space="preserve">High (1.2)</w:t>
            </w:r>
          </w:p>
        </w:tc>
      </w:tr>
      <w:tr>
        <w:tc>
          <w:tcPr/>
          <w:p>
            <w:pPr>
              <w:pStyle w:val="Compact"/>
              <w:jc w:val="left"/>
            </w:pPr>
            <w:r>
              <w:t xml:space="preserve">Recycled Metals</w:t>
            </w:r>
          </w:p>
        </w:tc>
        <w:tc>
          <w:tcPr/>
          <w:p>
            <w:pPr>
              <w:pStyle w:val="Compact"/>
              <w:jc w:val="left"/>
            </w:pPr>
            <w:r>
              <w:t xml:space="preserve">Heavy Melting Steel Scrap (Internal + EU import)</w:t>
            </w:r>
          </w:p>
        </w:tc>
        <w:tc>
          <w:tcPr/>
          <w:p>
            <w:pPr>
              <w:pStyle w:val="Compact"/>
              <w:jc w:val="left"/>
            </w:pPr>
            <w:r>
              <w:t xml:space="preserve">0.180 kg</w:t>
            </w:r>
          </w:p>
        </w:tc>
        <w:tc>
          <w:tcPr/>
          <w:p>
            <w:pPr>
              <w:pStyle w:val="Compact"/>
              <w:jc w:val="left"/>
            </w:pPr>
            <w:r>
              <w:t xml:space="preserve">Worldsteel LCI (Tier 2)</w:t>
            </w:r>
          </w:p>
        </w:tc>
        <w:tc>
          <w:tcPr/>
          <w:p>
            <w:pPr>
              <w:pStyle w:val="Compact"/>
              <w:jc w:val="left"/>
            </w:pPr>
            <w:r>
              <w:t xml:space="preserve">High (1.1)</w:t>
            </w:r>
          </w:p>
        </w:tc>
      </w:tr>
      <w:tr>
        <w:tc>
          <w:tcPr/>
          <w:p>
            <w:pPr>
              <w:pStyle w:val="Compact"/>
              <w:jc w:val="left"/>
            </w:pPr>
            <w:r>
              <w:t xml:space="preserve">Carbon &amp; Reductants</w:t>
            </w:r>
          </w:p>
        </w:tc>
        <w:tc>
          <w:tcPr/>
          <w:p>
            <w:pPr>
              <w:pStyle w:val="Compact"/>
              <w:jc w:val="left"/>
            </w:pPr>
            <w:r>
              <w:t xml:space="preserve">Metallurgical Coke &amp; PCI Coal</w:t>
            </w:r>
          </w:p>
        </w:tc>
        <w:tc>
          <w:tcPr/>
          <w:p>
            <w:pPr>
              <w:pStyle w:val="Compact"/>
              <w:jc w:val="left"/>
            </w:pPr>
            <w:r>
              <w:t xml:space="preserve">0.540 kg</w:t>
            </w:r>
          </w:p>
        </w:tc>
        <w:tc>
          <w:tcPr/>
          <w:p>
            <w:pPr>
              <w:pStyle w:val="Compact"/>
              <w:jc w:val="left"/>
            </w:pPr>
            <w:r>
              <w:t xml:space="preserve">Plant Logs / Ecoinvent 3.9</w:t>
            </w:r>
          </w:p>
        </w:tc>
        <w:tc>
          <w:tcPr/>
          <w:p>
            <w:pPr>
              <w:pStyle w:val="Compact"/>
              <w:jc w:val="left"/>
            </w:pPr>
            <w:r>
              <w:t xml:space="preserve">High (1.2)</w:t>
            </w:r>
          </w:p>
        </w:tc>
      </w:tr>
      <w:tr>
        <w:tc>
          <w:tcPr/>
          <w:p>
            <w:pPr>
              <w:pStyle w:val="Compact"/>
              <w:jc w:val="left"/>
            </w:pPr>
            <w:r>
              <w:t xml:space="preserve">Fluxing Minerals</w:t>
            </w:r>
          </w:p>
        </w:tc>
        <w:tc>
          <w:tcPr/>
          <w:p>
            <w:pPr>
              <w:pStyle w:val="Compact"/>
              <w:jc w:val="left"/>
            </w:pPr>
            <w:r>
              <w:t xml:space="preserve">Calcined Quicklime (CaO) &amp; Dolomite</w:t>
            </w:r>
          </w:p>
        </w:tc>
        <w:tc>
          <w:tcPr/>
          <w:p>
            <w:pPr>
              <w:pStyle w:val="Compact"/>
              <w:jc w:val="left"/>
            </w:pPr>
            <w:r>
              <w:t xml:space="preserve">0.085 kg</w:t>
            </w:r>
          </w:p>
        </w:tc>
        <w:tc>
          <w:tcPr/>
          <w:p>
            <w:pPr>
              <w:pStyle w:val="Compact"/>
              <w:jc w:val="left"/>
            </w:pPr>
            <w:r>
              <w:t xml:space="preserve">DEFRA Database 2024</w:t>
            </w:r>
          </w:p>
        </w:tc>
        <w:tc>
          <w:tcPr/>
          <w:p>
            <w:pPr>
              <w:pStyle w:val="Compact"/>
              <w:jc w:val="left"/>
            </w:pPr>
            <w:r>
              <w:t xml:space="preserve">Good (1.4)</w:t>
            </w:r>
          </w:p>
        </w:tc>
      </w:tr>
      <w:tr>
        <w:tc>
          <w:tcPr/>
          <w:p>
            <w:pPr>
              <w:pStyle w:val="Compact"/>
              <w:jc w:val="left"/>
            </w:pPr>
            <w:r>
              <w:t xml:space="preserve">Specialized Alloys</w:t>
            </w:r>
          </w:p>
        </w:tc>
        <w:tc>
          <w:tcPr/>
          <w:p>
            <w:pPr>
              <w:pStyle w:val="Compact"/>
              <w:jc w:val="left"/>
            </w:pPr>
            <w:r>
              <w:t xml:space="preserve">European Ferro-Silicon (FeSi 75%) &amp; FeMn</w:t>
            </w:r>
          </w:p>
        </w:tc>
        <w:tc>
          <w:tcPr/>
          <w:p>
            <w:pPr>
              <w:pStyle w:val="Compact"/>
              <w:jc w:val="left"/>
            </w:pPr>
            <w:r>
              <w:t xml:space="preserve">0.025 kg</w:t>
            </w:r>
          </w:p>
        </w:tc>
        <w:tc>
          <w:tcPr/>
          <w:p>
            <w:pPr>
              <w:pStyle w:val="Compact"/>
              <w:jc w:val="left"/>
            </w:pPr>
            <w:r>
              <w:t xml:space="preserve">Euroalliages / Ecoinvent</w:t>
            </w:r>
          </w:p>
        </w:tc>
        <w:tc>
          <w:tcPr/>
          <w:p>
            <w:pPr>
              <w:pStyle w:val="Compact"/>
              <w:jc w:val="left"/>
            </w:pPr>
            <w:r>
              <w:t xml:space="preserve">High (1.3)</w:t>
            </w:r>
          </w:p>
        </w:tc>
      </w:tr>
      <w:tr>
        <w:tc>
          <w:tcPr/>
          <w:p>
            <w:pPr>
              <w:pStyle w:val="Compact"/>
              <w:jc w:val="left"/>
            </w:pPr>
            <w:r>
              <w:t xml:space="preserve">Refractories</w:t>
            </w:r>
          </w:p>
        </w:tc>
        <w:tc>
          <w:tcPr/>
          <w:p>
            <w:pPr>
              <w:pStyle w:val="Compact"/>
              <w:jc w:val="left"/>
            </w:pPr>
            <w:r>
              <w:t xml:space="preserve">Alumina-Magnesia Carbon Linings</w:t>
            </w:r>
          </w:p>
        </w:tc>
        <w:tc>
          <w:tcPr/>
          <w:p>
            <w:pPr>
              <w:pStyle w:val="Compact"/>
              <w:jc w:val="left"/>
            </w:pPr>
            <w:r>
              <w:t xml:space="preserve">0.012 kg</w:t>
            </w:r>
          </w:p>
        </w:tc>
        <w:tc>
          <w:tcPr/>
          <w:p>
            <w:pPr>
              <w:pStyle w:val="Compact"/>
              <w:jc w:val="left"/>
            </w:pPr>
            <w:r>
              <w:t xml:space="preserve">European Refractory Assoc.</w:t>
            </w:r>
          </w:p>
        </w:tc>
        <w:tc>
          <w:tcPr/>
          <w:p>
            <w:pPr>
              <w:pStyle w:val="Compact"/>
              <w:jc w:val="left"/>
            </w:pPr>
            <w:r>
              <w:t xml:space="preserve">Good (1.5)</w:t>
            </w:r>
          </w:p>
        </w:tc>
      </w:tr>
      <w:tr>
        <w:tc>
          <w:tcPr/>
          <w:p>
            <w:pPr>
              <w:pStyle w:val="Compact"/>
              <w:jc w:val="left"/>
            </w:pPr>
            <w:r>
              <w:t xml:space="preserve">Electricity (Scope 2)</w:t>
            </w:r>
          </w:p>
        </w:tc>
        <w:tc>
          <w:tcPr/>
          <w:p>
            <w:pPr>
              <w:pStyle w:val="Compact"/>
              <w:jc w:val="left"/>
            </w:pPr>
            <w:r>
              <w:t xml:space="preserve">China Regional Grid (Industrial MV)</w:t>
            </w:r>
          </w:p>
        </w:tc>
        <w:tc>
          <w:tcPr/>
          <w:p>
            <w:pPr>
              <w:pStyle w:val="Compact"/>
              <w:jc w:val="left"/>
            </w:pPr>
            <w:r>
              <w:t xml:space="preserve">0.600 kWh</w:t>
            </w:r>
          </w:p>
        </w:tc>
        <w:tc>
          <w:tcPr/>
          <w:p>
            <w:pPr>
              <w:pStyle w:val="Compact"/>
              <w:jc w:val="left"/>
            </w:pPr>
            <w:r>
              <w:t xml:space="preserve">IEA / China National Grid 2024</w:t>
            </w:r>
          </w:p>
        </w:tc>
        <w:tc>
          <w:tcPr/>
          <w:p>
            <w:pPr>
              <w:pStyle w:val="Compact"/>
              <w:jc w:val="left"/>
            </w:pPr>
            <w:r>
              <w:t xml:space="preserve">High (1.1)</w:t>
            </w:r>
          </w:p>
        </w:tc>
      </w:tr>
      <w:tr>
        <w:tc>
          <w:tcPr/>
          <w:p>
            <w:pPr>
              <w:pStyle w:val="Compact"/>
              <w:jc w:val="left"/>
            </w:pPr>
            <w:r>
              <w:t xml:space="preserve">Thermal Energy</w:t>
            </w:r>
          </w:p>
        </w:tc>
        <w:tc>
          <w:tcPr/>
          <w:p>
            <w:pPr>
              <w:pStyle w:val="Compact"/>
              <w:jc w:val="left"/>
            </w:pPr>
            <w:r>
              <w:t xml:space="preserve">Natural Gas (Reheat rolling furnaces)</w:t>
            </w:r>
          </w:p>
        </w:tc>
        <w:tc>
          <w:tcPr/>
          <w:p>
            <w:pPr>
              <w:pStyle w:val="Compact"/>
              <w:jc w:val="left"/>
            </w:pPr>
            <w:r>
              <w:t xml:space="preserve">0.045 m³</w:t>
            </w:r>
          </w:p>
        </w:tc>
        <w:tc>
          <w:tcPr/>
          <w:p>
            <w:pPr>
              <w:pStyle w:val="Compact"/>
              <w:jc w:val="left"/>
            </w:pPr>
            <w:r>
              <w:t xml:space="preserve">DEFRA / Ecoinvent 3.9</w:t>
            </w:r>
          </w:p>
        </w:tc>
        <w:tc>
          <w:tcPr/>
          <w:p>
            <w:pPr>
              <w:pStyle w:val="Compact"/>
              <w:jc w:val="left"/>
            </w:pPr>
            <w:r>
              <w:t xml:space="preserve">High (1.2)</w:t>
            </w:r>
          </w:p>
        </w:tc>
      </w:tr>
      <w:tr>
        <w:tc>
          <w:tcPr/>
          <w:p>
            <w:pPr>
              <w:pStyle w:val="Compact"/>
              <w:jc w:val="left"/>
            </w:pPr>
            <w:r>
              <w:t xml:space="preserve">Industrial Gases</w:t>
            </w:r>
          </w:p>
        </w:tc>
        <w:tc>
          <w:tcPr/>
          <w:p>
            <w:pPr>
              <w:pStyle w:val="Compact"/>
              <w:jc w:val="left"/>
            </w:pPr>
            <w:r>
              <w:t xml:space="preserve">Cryogenic Oxygen, Argon, and Nitrogen</w:t>
            </w:r>
          </w:p>
        </w:tc>
        <w:tc>
          <w:tcPr/>
          <w:p>
            <w:pPr>
              <w:pStyle w:val="Compact"/>
              <w:jc w:val="left"/>
            </w:pPr>
            <w:r>
              <w:t xml:space="preserve">0.090 Nm³</w:t>
            </w:r>
          </w:p>
        </w:tc>
        <w:tc>
          <w:tcPr/>
          <w:p>
            <w:pPr>
              <w:pStyle w:val="Compact"/>
              <w:jc w:val="left"/>
            </w:pPr>
            <w:r>
              <w:t xml:space="preserve">Air Liquide Technical Spec</w:t>
            </w:r>
          </w:p>
        </w:tc>
        <w:tc>
          <w:tcPr/>
          <w:p>
            <w:pPr>
              <w:pStyle w:val="Compact"/>
              <w:jc w:val="left"/>
            </w:pPr>
            <w:r>
              <w:t xml:space="preserve">Good (1.4)</w:t>
            </w:r>
          </w:p>
        </w:tc>
      </w:tr>
      <w:tr>
        <w:tc>
          <w:tcPr/>
          <w:p>
            <w:pPr>
              <w:pStyle w:val="Compact"/>
              <w:jc w:val="left"/>
            </w:pPr>
            <w:r>
              <w:t xml:space="preserve">Logistics (Sea)</w:t>
            </w:r>
          </w:p>
        </w:tc>
        <w:tc>
          <w:tcPr/>
          <w:p>
            <w:pPr>
              <w:pStyle w:val="Compact"/>
              <w:jc w:val="left"/>
            </w:pPr>
            <w:r>
              <w:t xml:space="preserve">Bulk Maritime Feeder (5.0 km coastal route)</w:t>
            </w:r>
          </w:p>
        </w:tc>
        <w:tc>
          <w:tcPr/>
          <w:p>
            <w:pPr>
              <w:pStyle w:val="Compact"/>
              <w:jc w:val="left"/>
            </w:pPr>
            <w:r>
              <w:t xml:space="preserve">0.005 tkm</w:t>
            </w:r>
          </w:p>
        </w:tc>
        <w:tc>
          <w:tcPr/>
          <w:p>
            <w:pPr>
              <w:pStyle w:val="Compact"/>
              <w:jc w:val="left"/>
            </w:pPr>
            <w:r>
              <w:t xml:space="preserve">IMO / DEFRA Sea Freight</w:t>
            </w:r>
          </w:p>
        </w:tc>
        <w:tc>
          <w:tcPr/>
          <w:p>
            <w:pPr>
              <w:pStyle w:val="Compact"/>
              <w:jc w:val="left"/>
            </w:pPr>
            <w:r>
              <w:t xml:space="preserve">High (1.1)</w:t>
            </w:r>
          </w:p>
        </w:tc>
      </w:tr>
    </w:tbl>
    <w:p>
      <w:r>
        <w:pict>
          <v:rect style="width:0;height:1.5pt" o:hralign="center" o:hrstd="t" o:hr="t"/>
        </w:pict>
      </w:r>
    </w:p>
    <w:bookmarkEnd w:id="23"/>
    <w:bookmarkStart w:id="25" w:name="Xc8a29ba87fe39c7e72ef7702c7c890ea8c0089c"/>
    <w:p>
      <w:pPr>
        <w:pStyle w:val="Heading2"/>
      </w:pPr>
      <w:r>
        <w:t xml:space="preserve">Step 4: Quantification &amp; Emission Calculations (Activity × EF = CO₂e)</w:t>
      </w:r>
    </w:p>
    <w:p>
      <w:pPr>
        <w:pStyle w:val="FirstParagraph"/>
      </w:pPr>
      <w:r>
        <w:t xml:space="preserve">Emissions are calculated applying the standard quantification model:</w:t>
      </w:r>
      <w:r>
        <w:br/>
      </w:r>
      <w:r>
        <w:rPr>
          <w:rStyle w:val="VerbatimChar"/>
        </w:rPr>
        <w:t xml:space="preserve">Total CO₂e = ∑ [ Activity Data (AD</w:t>
      </w:r>
      <w:r>
        <w:rPr>
          <w:rStyle w:val="VerbatimChar"/>
          <w:vertAlign w:val="subscript"/>
        </w:rPr>
        <w:t xml:space="preserve">i</w:t>
      </w:r>
      <w:r>
        <w:rPr>
          <w:rStyle w:val="VerbatimChar"/>
        </w:rPr>
        <w:t xml:space="preserve">) × Emission Factor (EF</w:t>
      </w:r>
      <w:r>
        <w:rPr>
          <w:rStyle w:val="VerbatimChar"/>
          <w:vertAlign w:val="subscript"/>
        </w:rPr>
        <w:t xml:space="preserve">i</w:t>
      </w:r>
      <w:r>
        <w:rPr>
          <w:rStyle w:val="VerbatimChar"/>
        </w:rPr>
        <w:t xml:space="preserve">) × (1 + GWP</w:t>
      </w:r>
      <w:r>
        <w:rPr>
          <w:rStyle w:val="VerbatimChar"/>
          <w:vertAlign w:val="subscript"/>
        </w:rPr>
        <w:t xml:space="preserve">100</w:t>
      </w:r>
      <w:r>
        <w:rPr>
          <w:rStyle w:val="VerbatimChar"/>
        </w:rPr>
        <w:t xml:space="preserve">) ]</w:t>
      </w:r>
      <w:r>
        <w:br/>
      </w:r>
      <w:r>
        <w:t xml:space="preserve">Global Warming Potentials (GWPs) are sourced from the IPCC 6th Assessment Report (AR6) over a 100-year time horizon.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Activity / Stream</w:t>
            </w:r>
          </w:p>
        </w:tc>
        <w:tc>
          <w:tcPr/>
          <w:p>
            <w:pPr>
              <w:pStyle w:val="Compact"/>
              <w:jc w:val="left"/>
            </w:pPr>
            <w:r>
              <w:t xml:space="preserve">Scope</w:t>
            </w:r>
          </w:p>
        </w:tc>
        <w:tc>
          <w:tcPr/>
          <w:p>
            <w:pPr>
              <w:pStyle w:val="Compact"/>
              <w:jc w:val="left"/>
            </w:pPr>
            <w:r>
              <w:t xml:space="preserve">Activity (A)</w:t>
            </w:r>
          </w:p>
        </w:tc>
        <w:tc>
          <w:tcPr/>
          <w:p>
            <w:pPr>
              <w:pStyle w:val="Compact"/>
              <w:jc w:val="left"/>
            </w:pPr>
            <w:r>
              <w:t xml:space="preserve">Emission Factor (EF)</w:t>
            </w:r>
          </w:p>
        </w:tc>
        <w:tc>
          <w:tcPr/>
          <w:p>
            <w:pPr>
              <w:pStyle w:val="Compact"/>
              <w:jc w:val="left"/>
            </w:pPr>
            <w:r>
              <w:t xml:space="preserve">Emissions (kg CO₂e)</w:t>
            </w:r>
          </w:p>
        </w:tc>
        <w:tc>
          <w:tcPr/>
          <w:p>
            <w:pPr>
              <w:pStyle w:val="Compact"/>
              <w:jc w:val="left"/>
            </w:pPr>
            <w:r>
              <w:t xml:space="preserve">Share (%)</w:t>
            </w:r>
          </w:p>
        </w:tc>
      </w:tr>
      <w:tr>
        <w:tc>
          <w:tcPr/>
          <w:p>
            <w:pPr>
              <w:pStyle w:val="Compact"/>
              <w:jc w:val="left"/>
            </w:pPr>
            <w:r>
              <w:t xml:space="preserve">Iron Ore Extraction &amp; Beneficiation</w:t>
            </w:r>
          </w:p>
        </w:tc>
        <w:tc>
          <w:tcPr/>
          <w:p>
            <w:pPr>
              <w:pStyle w:val="Compact"/>
              <w:jc w:val="left"/>
            </w:pPr>
            <w:r>
              <w:t xml:space="preserve">Scope 3</w:t>
            </w:r>
          </w:p>
        </w:tc>
        <w:tc>
          <w:tcPr/>
          <w:p>
            <w:pPr>
              <w:pStyle w:val="Compact"/>
              <w:jc w:val="left"/>
            </w:pPr>
            <w:r>
              <w:t xml:space="preserve">1.420 kg</w:t>
            </w:r>
          </w:p>
        </w:tc>
        <w:tc>
          <w:tcPr/>
          <w:p>
            <w:pPr>
              <w:pStyle w:val="Compact"/>
              <w:jc w:val="left"/>
            </w:pPr>
            <w:r>
              <w:t xml:space="preserve">0.2450 kg CO₂e / kg ore</w:t>
            </w:r>
          </w:p>
        </w:tc>
        <w:tc>
          <w:tcPr/>
          <w:p>
            <w:pPr>
              <w:pStyle w:val="Compact"/>
              <w:jc w:val="left"/>
            </w:pPr>
            <w:r>
              <w:t xml:space="preserve">0.3479</w:t>
            </w:r>
          </w:p>
        </w:tc>
        <w:tc>
          <w:tcPr/>
          <w:p>
            <w:pPr>
              <w:pStyle w:val="Compact"/>
              <w:jc w:val="left"/>
            </w:pPr>
            <w:r>
              <w:t xml:space="preserve">16.46%</w:t>
            </w:r>
          </w:p>
        </w:tc>
      </w:tr>
      <w:tr>
        <w:tc>
          <w:tcPr/>
          <w:p>
            <w:pPr>
              <w:pStyle w:val="Compact"/>
              <w:jc w:val="left"/>
            </w:pPr>
            <w:r>
              <w:t xml:space="preserve">Steel Scrap Processing &amp; Sourcing</w:t>
            </w:r>
          </w:p>
        </w:tc>
        <w:tc>
          <w:tcPr/>
          <w:p>
            <w:pPr>
              <w:pStyle w:val="Compact"/>
              <w:jc w:val="left"/>
            </w:pPr>
            <w:r>
              <w:t xml:space="preserve">Scope 3</w:t>
            </w:r>
          </w:p>
        </w:tc>
        <w:tc>
          <w:tcPr/>
          <w:p>
            <w:pPr>
              <w:pStyle w:val="Compact"/>
              <w:jc w:val="left"/>
            </w:pPr>
            <w:r>
              <w:t xml:space="preserve">0.180 kg</w:t>
            </w:r>
          </w:p>
        </w:tc>
        <w:tc>
          <w:tcPr/>
          <w:p>
            <w:pPr>
              <w:pStyle w:val="Compact"/>
              <w:jc w:val="left"/>
            </w:pPr>
            <w:r>
              <w:t xml:space="preserve">0.0850 kg CO₂e / kg scrap</w:t>
            </w:r>
          </w:p>
        </w:tc>
        <w:tc>
          <w:tcPr/>
          <w:p>
            <w:pPr>
              <w:pStyle w:val="Compact"/>
              <w:jc w:val="left"/>
            </w:pPr>
            <w:r>
              <w:t xml:space="preserve">0.0153</w:t>
            </w:r>
          </w:p>
        </w:tc>
        <w:tc>
          <w:tcPr/>
          <w:p>
            <w:pPr>
              <w:pStyle w:val="Compact"/>
              <w:jc w:val="left"/>
            </w:pPr>
            <w:r>
              <w:t xml:space="preserve">0.72%</w:t>
            </w:r>
          </w:p>
        </w:tc>
      </w:tr>
      <w:tr>
        <w:tc>
          <w:tcPr/>
          <w:p>
            <w:pPr>
              <w:pStyle w:val="Compact"/>
              <w:jc w:val="left"/>
            </w:pPr>
            <w:r>
              <w:t xml:space="preserve">European Ferro-alloys (FeSi, FeMn)</w:t>
            </w:r>
          </w:p>
        </w:tc>
        <w:tc>
          <w:tcPr/>
          <w:p>
            <w:pPr>
              <w:pStyle w:val="Compact"/>
              <w:jc w:val="left"/>
            </w:pPr>
            <w:r>
              <w:t xml:space="preserve">Scope 3</w:t>
            </w:r>
          </w:p>
        </w:tc>
        <w:tc>
          <w:tcPr/>
          <w:p>
            <w:pPr>
              <w:pStyle w:val="Compact"/>
              <w:jc w:val="left"/>
            </w:pPr>
            <w:r>
              <w:t xml:space="preserve">0.025 kg</w:t>
            </w:r>
          </w:p>
        </w:tc>
        <w:tc>
          <w:tcPr/>
          <w:p>
            <w:pPr>
              <w:pStyle w:val="Compact"/>
              <w:jc w:val="left"/>
            </w:pPr>
            <w:r>
              <w:t xml:space="preserve">2.8400 kg CO₂e / kg alloy</w:t>
            </w:r>
          </w:p>
        </w:tc>
        <w:tc>
          <w:tcPr/>
          <w:p>
            <w:pPr>
              <w:pStyle w:val="Compact"/>
              <w:jc w:val="left"/>
            </w:pPr>
            <w:r>
              <w:t xml:space="preserve">0.0710</w:t>
            </w:r>
          </w:p>
        </w:tc>
        <w:tc>
          <w:tcPr/>
          <w:p>
            <w:pPr>
              <w:pStyle w:val="Compact"/>
              <w:jc w:val="left"/>
            </w:pPr>
            <w:r>
              <w:t xml:space="preserve">3.36%</w:t>
            </w:r>
          </w:p>
        </w:tc>
      </w:tr>
      <w:tr>
        <w:tc>
          <w:tcPr/>
          <w:p>
            <w:pPr>
              <w:pStyle w:val="Compact"/>
              <w:jc w:val="left"/>
            </w:pPr>
            <w:r>
              <w:t xml:space="preserve">Flux Mining &amp; Calcination (Lime)</w:t>
            </w:r>
          </w:p>
        </w:tc>
        <w:tc>
          <w:tcPr/>
          <w:p>
            <w:pPr>
              <w:pStyle w:val="Compact"/>
              <w:jc w:val="left"/>
            </w:pPr>
            <w:r>
              <w:t xml:space="preserve">Scope 3</w:t>
            </w:r>
          </w:p>
        </w:tc>
        <w:tc>
          <w:tcPr/>
          <w:p>
            <w:pPr>
              <w:pStyle w:val="Compact"/>
              <w:jc w:val="left"/>
            </w:pPr>
            <w:r>
              <w:t xml:space="preserve">0.085 kg</w:t>
            </w:r>
          </w:p>
        </w:tc>
        <w:tc>
          <w:tcPr/>
          <w:p>
            <w:pPr>
              <w:pStyle w:val="Compact"/>
              <w:jc w:val="left"/>
            </w:pPr>
            <w:r>
              <w:t xml:space="preserve">0.6200 kg CO₂e / kg flux</w:t>
            </w:r>
          </w:p>
        </w:tc>
        <w:tc>
          <w:tcPr/>
          <w:p>
            <w:pPr>
              <w:pStyle w:val="Compact"/>
              <w:jc w:val="left"/>
            </w:pPr>
            <w:r>
              <w:t xml:space="preserve">0.0527</w:t>
            </w:r>
          </w:p>
        </w:tc>
        <w:tc>
          <w:tcPr/>
          <w:p>
            <w:pPr>
              <w:pStyle w:val="Compact"/>
              <w:jc w:val="left"/>
            </w:pPr>
            <w:r>
              <w:t xml:space="preserve">2.49%</w:t>
            </w:r>
          </w:p>
        </w:tc>
      </w:tr>
      <w:tr>
        <w:tc>
          <w:tcPr/>
          <w:p>
            <w:pPr>
              <w:pStyle w:val="Compact"/>
              <w:jc w:val="left"/>
            </w:pPr>
            <w:r>
              <w:t xml:space="preserve">Maritime Feeder Transport (Sea, 5 km)</w:t>
            </w:r>
          </w:p>
        </w:tc>
        <w:tc>
          <w:tcPr/>
          <w:p>
            <w:pPr>
              <w:pStyle w:val="Compact"/>
              <w:jc w:val="left"/>
            </w:pPr>
            <w:r>
              <w:t xml:space="preserve">Scope 3</w:t>
            </w:r>
          </w:p>
        </w:tc>
        <w:tc>
          <w:tcPr/>
          <w:p>
            <w:pPr>
              <w:pStyle w:val="Compact"/>
              <w:jc w:val="left"/>
            </w:pPr>
            <w:r>
              <w:t xml:space="preserve">0.005 tkm</w:t>
            </w:r>
          </w:p>
        </w:tc>
        <w:tc>
          <w:tcPr/>
          <w:p>
            <w:pPr>
              <w:pStyle w:val="Compact"/>
              <w:jc w:val="left"/>
            </w:pPr>
            <w:r>
              <w:t xml:space="preserve">0.0161 kg CO₂e / tkm</w:t>
            </w:r>
          </w:p>
        </w:tc>
        <w:tc>
          <w:tcPr/>
          <w:p>
            <w:pPr>
              <w:pStyle w:val="Compact"/>
              <w:jc w:val="left"/>
            </w:pPr>
            <w:r>
              <w:t xml:space="preserve">0.0001</w:t>
            </w:r>
          </w:p>
        </w:tc>
        <w:tc>
          <w:tcPr/>
          <w:p>
            <w:pPr>
              <w:pStyle w:val="Compact"/>
              <w:jc w:val="left"/>
            </w:pPr>
            <w:r>
              <w:t xml:space="preserve">0.01%</w:t>
            </w:r>
          </w:p>
        </w:tc>
      </w:tr>
      <w:tr>
        <w:tc>
          <w:tcPr/>
          <w:p>
            <w:pPr>
              <w:pStyle w:val="Compact"/>
              <w:jc w:val="left"/>
            </w:pPr>
            <w:r>
              <w:t xml:space="preserve">BF Direct Chemical Reduction (Coke/Coal)</w:t>
            </w:r>
          </w:p>
        </w:tc>
        <w:tc>
          <w:tcPr/>
          <w:p>
            <w:pPr>
              <w:pStyle w:val="Compact"/>
              <w:jc w:val="left"/>
            </w:pPr>
            <w:r>
              <w:t xml:space="preserve">Scope 1</w:t>
            </w:r>
          </w:p>
        </w:tc>
        <w:tc>
          <w:tcPr/>
          <w:p>
            <w:pPr>
              <w:pStyle w:val="Compact"/>
              <w:jc w:val="left"/>
            </w:pPr>
            <w:r>
              <w:t xml:space="preserve">0.540 kg coal eq.</w:t>
            </w:r>
          </w:p>
        </w:tc>
        <w:tc>
          <w:tcPr/>
          <w:p>
            <w:pPr>
              <w:pStyle w:val="Compact"/>
              <w:jc w:val="left"/>
            </w:pPr>
            <w:r>
              <w:t xml:space="preserve">2.1800 kg CO₂e / kg fuel</w:t>
            </w:r>
          </w:p>
        </w:tc>
        <w:tc>
          <w:tcPr/>
          <w:p>
            <w:pPr>
              <w:pStyle w:val="Compact"/>
              <w:jc w:val="left"/>
            </w:pPr>
            <w:r>
              <w:t xml:space="preserve">1.1772</w:t>
            </w:r>
          </w:p>
        </w:tc>
        <w:tc>
          <w:tcPr/>
          <w:p>
            <w:pPr>
              <w:pStyle w:val="Compact"/>
              <w:jc w:val="left"/>
            </w:pPr>
            <w:r>
              <w:t xml:space="preserve">55.69%</w:t>
            </w:r>
          </w:p>
        </w:tc>
      </w:tr>
      <w:tr>
        <w:tc>
          <w:tcPr/>
          <w:p>
            <w:pPr>
              <w:pStyle w:val="Compact"/>
              <w:jc w:val="left"/>
            </w:pPr>
            <w:r>
              <w:t xml:space="preserve">BOF Decarbonization &amp; Reheat Gas</w:t>
            </w:r>
          </w:p>
        </w:tc>
        <w:tc>
          <w:tcPr/>
          <w:p>
            <w:pPr>
              <w:pStyle w:val="Compact"/>
              <w:jc w:val="left"/>
            </w:pPr>
            <w:r>
              <w:t xml:space="preserve">Scope 1</w:t>
            </w:r>
          </w:p>
        </w:tc>
        <w:tc>
          <w:tcPr/>
          <w:p>
            <w:pPr>
              <w:pStyle w:val="Compact"/>
              <w:jc w:val="left"/>
            </w:pPr>
            <w:r>
              <w:t xml:space="preserve">0.045 m³ gas</w:t>
            </w:r>
          </w:p>
        </w:tc>
        <w:tc>
          <w:tcPr/>
          <w:p>
            <w:pPr>
              <w:pStyle w:val="Compact"/>
              <w:jc w:val="left"/>
            </w:pPr>
            <w:r>
              <w:t xml:space="preserve">2.0310 kg CO₂e / m³</w:t>
            </w:r>
          </w:p>
        </w:tc>
        <w:tc>
          <w:tcPr/>
          <w:p>
            <w:pPr>
              <w:pStyle w:val="Compact"/>
              <w:jc w:val="left"/>
            </w:pPr>
            <w:r>
              <w:t xml:space="preserve">0.0914</w:t>
            </w:r>
          </w:p>
        </w:tc>
        <w:tc>
          <w:tcPr/>
          <w:p>
            <w:pPr>
              <w:pStyle w:val="Compact"/>
              <w:jc w:val="left"/>
            </w:pPr>
            <w:r>
              <w:t xml:space="preserve">4.32%</w:t>
            </w:r>
          </w:p>
        </w:tc>
      </w:tr>
      <w:tr>
        <w:tc>
          <w:tcPr/>
          <w:p>
            <w:pPr>
              <w:pStyle w:val="Compact"/>
              <w:jc w:val="left"/>
            </w:pPr>
            <w:r>
              <w:t xml:space="preserve">Refractory Carbon Dissolution</w:t>
            </w:r>
          </w:p>
        </w:tc>
        <w:tc>
          <w:tcPr/>
          <w:p>
            <w:pPr>
              <w:pStyle w:val="Compact"/>
              <w:jc w:val="left"/>
            </w:pPr>
            <w:r>
              <w:t xml:space="preserve">Scope 1</w:t>
            </w:r>
          </w:p>
        </w:tc>
        <w:tc>
          <w:tcPr/>
          <w:p>
            <w:pPr>
              <w:pStyle w:val="Compact"/>
              <w:jc w:val="left"/>
            </w:pPr>
            <w:r>
              <w:t xml:space="preserve">0.012 kg</w:t>
            </w:r>
          </w:p>
        </w:tc>
        <w:tc>
          <w:tcPr/>
          <w:p>
            <w:pPr>
              <w:pStyle w:val="Compact"/>
              <w:jc w:val="left"/>
            </w:pPr>
            <w:r>
              <w:t xml:space="preserve">1.3500 kg CO₂e / kg lining</w:t>
            </w:r>
          </w:p>
        </w:tc>
        <w:tc>
          <w:tcPr/>
          <w:p>
            <w:pPr>
              <w:pStyle w:val="Compact"/>
              <w:jc w:val="left"/>
            </w:pPr>
            <w:r>
              <w:t xml:space="preserve">0.0162</w:t>
            </w:r>
          </w:p>
        </w:tc>
        <w:tc>
          <w:tcPr/>
          <w:p>
            <w:pPr>
              <w:pStyle w:val="Compact"/>
              <w:jc w:val="left"/>
            </w:pPr>
            <w:r>
              <w:t xml:space="preserve">0.77%</w:t>
            </w:r>
          </w:p>
        </w:tc>
      </w:tr>
      <w:tr>
        <w:tc>
          <w:tcPr/>
          <w:p>
            <w:pPr>
              <w:pStyle w:val="Compact"/>
              <w:jc w:val="left"/>
            </w:pPr>
            <w:r>
              <w:t xml:space="preserve">Grid Electricity (Rolling, Pumps, Casting)</w:t>
            </w:r>
          </w:p>
        </w:tc>
        <w:tc>
          <w:tcPr/>
          <w:p>
            <w:pPr>
              <w:pStyle w:val="Compact"/>
              <w:jc w:val="left"/>
            </w:pPr>
            <w:r>
              <w:t xml:space="preserve">Scope 2</w:t>
            </w:r>
          </w:p>
        </w:tc>
        <w:tc>
          <w:tcPr/>
          <w:p>
            <w:pPr>
              <w:pStyle w:val="Compact"/>
              <w:jc w:val="left"/>
            </w:pPr>
            <w:r>
              <w:t xml:space="preserve">0.600 kWh</w:t>
            </w:r>
          </w:p>
        </w:tc>
        <w:tc>
          <w:tcPr/>
          <w:p>
            <w:pPr>
              <w:pStyle w:val="Compact"/>
              <w:jc w:val="left"/>
            </w:pPr>
            <w:r>
              <w:t xml:space="preserve">0.5700 kg CO₂e / kWh</w:t>
            </w:r>
          </w:p>
        </w:tc>
        <w:tc>
          <w:tcPr/>
          <w:p>
            <w:pPr>
              <w:pStyle w:val="Compact"/>
              <w:jc w:val="left"/>
            </w:pPr>
            <w:r>
              <w:t xml:space="preserve">0.3420</w:t>
            </w:r>
          </w:p>
        </w:tc>
        <w:tc>
          <w:tcPr/>
          <w:p>
            <w:pPr>
              <w:pStyle w:val="Compact"/>
              <w:jc w:val="left"/>
            </w:pPr>
            <w:r>
              <w:t xml:space="preserve">16.18%</w:t>
            </w:r>
          </w:p>
        </w:tc>
      </w:tr>
      <w:tr>
        <w:tc>
          <w:tcPr>
            <w:gridSpan w:val="4"/>
          </w:tcPr>
          <w:p>
            <w:pPr>
              <w:pStyle w:val="Compact"/>
              <w:jc w:val="left"/>
            </w:pPr>
            <w:r>
              <w:rPr>
                <w:bCs/>
                <w:b/>
              </w:rPr>
              <w:t xml:space="preserve">Total Cradle-to-Gate Footprint (per 1.0 kg Steel)</w:t>
            </w:r>
          </w:p>
        </w:tc>
        <w:tc>
          <w:tcPr/>
          <w:p>
            <w:pPr>
              <w:pStyle w:val="Compact"/>
              <w:jc w:val="left"/>
            </w:pPr>
            <w:r>
              <w:rPr>
                <w:bCs/>
                <w:b/>
              </w:rPr>
              <w:t xml:space="preserve">2.1138</w:t>
            </w:r>
          </w:p>
        </w:tc>
        <w:tc>
          <w:tcPr/>
          <w:p>
            <w:pPr>
              <w:pStyle w:val="Compact"/>
              <w:jc w:val="left"/>
            </w:pPr>
            <w:r>
              <w:rPr>
                <w:bCs/>
                <w:b/>
              </w:rPr>
              <w:t xml:space="preserve">100.0%</w:t>
            </w:r>
          </w:p>
        </w:tc>
      </w:tr>
    </w:tbl>
    <w:bookmarkStart w:id="24" w:name="X8acab28322e4037170305fb98f1e294af90adc9"/>
    <w:p>
      <w:pPr>
        <w:pStyle w:val="Heading3"/>
      </w:pPr>
      <w:r>
        <w:t xml:space="preserve">Consolidated Emissions by Greenhouse Gas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ISO 14064 / GHG Category</w:t>
            </w:r>
          </w:p>
        </w:tc>
        <w:tc>
          <w:tcPr/>
          <w:p>
            <w:pPr>
              <w:pStyle w:val="Compact"/>
              <w:jc w:val="left"/>
            </w:pPr>
            <w:r>
              <w:t xml:space="preserve">Direct / Indirect Scope</w:t>
            </w:r>
          </w:p>
        </w:tc>
        <w:tc>
          <w:tcPr/>
          <w:p>
            <w:pPr>
              <w:pStyle w:val="Compact"/>
              <w:jc w:val="left"/>
            </w:pPr>
            <w:r>
              <w:t xml:space="preserve">Emissions (kg CO₂e)</w:t>
            </w:r>
          </w:p>
        </w:tc>
        <w:tc>
          <w:tcPr/>
          <w:p>
            <w:pPr>
              <w:pStyle w:val="Compact"/>
              <w:jc w:val="left"/>
            </w:pPr>
            <w:r>
              <w:t xml:space="preserve">Contribution</w:t>
            </w:r>
          </w:p>
        </w:tc>
      </w:tr>
      <w:tr>
        <w:tc>
          <w:tcPr/>
          <w:p>
            <w:pPr>
              <w:pStyle w:val="Compact"/>
              <w:jc w:val="left"/>
            </w:pPr>
            <w:r>
              <w:t xml:space="preserve">Category 1: Direct Emissions</w:t>
            </w:r>
          </w:p>
        </w:tc>
        <w:tc>
          <w:tcPr/>
          <w:p>
            <w:pPr>
              <w:pStyle w:val="Compact"/>
              <w:jc w:val="left"/>
            </w:pPr>
            <w:r>
              <w:t xml:space="preserve">Scope 1 (Process Reduction &amp; Combustion)</w:t>
            </w:r>
          </w:p>
        </w:tc>
        <w:tc>
          <w:tcPr/>
          <w:p>
            <w:pPr>
              <w:pStyle w:val="Compact"/>
              <w:jc w:val="left"/>
            </w:pPr>
            <w:r>
              <w:t xml:space="preserve">1.2848</w:t>
            </w:r>
          </w:p>
        </w:tc>
        <w:tc>
          <w:tcPr/>
          <w:p>
            <w:pPr>
              <w:pStyle w:val="Compact"/>
              <w:jc w:val="left"/>
            </w:pPr>
            <w:r>
              <w:t xml:space="preserve">60.78%</w:t>
            </w:r>
          </w:p>
        </w:tc>
      </w:tr>
      <w:tr>
        <w:tc>
          <w:tcPr/>
          <w:p>
            <w:pPr>
              <w:pStyle w:val="Compact"/>
              <w:jc w:val="left"/>
            </w:pPr>
            <w:r>
              <w:t xml:space="preserve">Category 2: Indirect Emissions from Imported Energy</w:t>
            </w:r>
          </w:p>
        </w:tc>
        <w:tc>
          <w:tcPr/>
          <w:p>
            <w:pPr>
              <w:pStyle w:val="Compact"/>
              <w:jc w:val="left"/>
            </w:pPr>
            <w:r>
              <w:t xml:space="preserve">Scope 2 (Grid Electricity)</w:t>
            </w:r>
          </w:p>
        </w:tc>
        <w:tc>
          <w:tcPr/>
          <w:p>
            <w:pPr>
              <w:pStyle w:val="Compact"/>
              <w:jc w:val="left"/>
            </w:pPr>
            <w:r>
              <w:t xml:space="preserve">0.3420</w:t>
            </w:r>
          </w:p>
        </w:tc>
        <w:tc>
          <w:tcPr/>
          <w:p>
            <w:pPr>
              <w:pStyle w:val="Compact"/>
              <w:jc w:val="left"/>
            </w:pPr>
            <w:r>
              <w:t xml:space="preserve">16.18%</w:t>
            </w:r>
          </w:p>
        </w:tc>
      </w:tr>
      <w:tr>
        <w:tc>
          <w:tcPr/>
          <w:p>
            <w:pPr>
              <w:pStyle w:val="Compact"/>
              <w:jc w:val="left"/>
            </w:pPr>
            <w:r>
              <w:t xml:space="preserve">Category 3: Indirect Emissions from Transportation</w:t>
            </w:r>
          </w:p>
        </w:tc>
        <w:tc>
          <w:tcPr/>
          <w:p>
            <w:pPr>
              <w:pStyle w:val="Compact"/>
              <w:jc w:val="left"/>
            </w:pPr>
            <w:r>
              <w:t xml:space="preserve">Scope 3 (Inbound Sea Feeder: 5 km)</w:t>
            </w:r>
          </w:p>
        </w:tc>
        <w:tc>
          <w:tcPr/>
          <w:p>
            <w:pPr>
              <w:pStyle w:val="Compact"/>
              <w:jc w:val="left"/>
            </w:pPr>
            <w:r>
              <w:t xml:space="preserve">0.0001</w:t>
            </w:r>
          </w:p>
        </w:tc>
        <w:tc>
          <w:tcPr/>
          <w:p>
            <w:pPr>
              <w:pStyle w:val="Compact"/>
              <w:jc w:val="left"/>
            </w:pPr>
            <w:r>
              <w:t xml:space="preserve">0.01%</w:t>
            </w:r>
          </w:p>
        </w:tc>
      </w:tr>
      <w:tr>
        <w:tc>
          <w:tcPr/>
          <w:p>
            <w:pPr>
              <w:pStyle w:val="Compact"/>
              <w:jc w:val="left"/>
            </w:pPr>
            <w:r>
              <w:t xml:space="preserve">Category 4: Indirect Emissions from Purchased Goods</w:t>
            </w:r>
          </w:p>
        </w:tc>
        <w:tc>
          <w:tcPr/>
          <w:p>
            <w:pPr>
              <w:pStyle w:val="Compact"/>
              <w:jc w:val="left"/>
            </w:pPr>
            <w:r>
              <w:t xml:space="preserve">Scope 3 (Upstream Ores, Alloys, Lime)</w:t>
            </w:r>
          </w:p>
        </w:tc>
        <w:tc>
          <w:tcPr/>
          <w:p>
            <w:pPr>
              <w:pStyle w:val="Compact"/>
              <w:jc w:val="left"/>
            </w:pPr>
            <w:r>
              <w:t xml:space="preserve">0.4869</w:t>
            </w:r>
          </w:p>
        </w:tc>
        <w:tc>
          <w:tcPr/>
          <w:p>
            <w:pPr>
              <w:pStyle w:val="Compact"/>
              <w:jc w:val="left"/>
            </w:pPr>
            <w:r>
              <w:t xml:space="preserve">23.03%</w:t>
            </w:r>
          </w:p>
        </w:tc>
      </w:tr>
      <w:tr>
        <w:tc>
          <w:tcPr>
            <w:gridSpan w:val="2"/>
          </w:tcPr>
          <w:p>
            <w:pPr>
              <w:pStyle w:val="Compact"/>
              <w:jc w:val="left"/>
            </w:pPr>
            <w:r>
              <w:rPr>
                <w:bCs/>
                <w:b/>
              </w:rPr>
              <w:t xml:space="preserve">Total Quantified Footprint</w:t>
            </w:r>
          </w:p>
        </w:tc>
        <w:tc>
          <w:tcPr/>
          <w:p>
            <w:pPr>
              <w:pStyle w:val="Compact"/>
              <w:jc w:val="left"/>
            </w:pPr>
            <w:r>
              <w:rPr>
                <w:bCs/>
                <w:b/>
              </w:rPr>
              <w:t xml:space="preserve">2.1138 kg CO₂e</w:t>
            </w:r>
          </w:p>
        </w:tc>
        <w:tc>
          <w:tcPr/>
          <w:p>
            <w:pPr>
              <w:pStyle w:val="Compact"/>
              <w:jc w:val="left"/>
            </w:pPr>
            <w:r>
              <w:rPr>
                <w:bCs/>
                <w:b/>
              </w:rPr>
              <w:t xml:space="preserve">100.00%</w:t>
            </w:r>
          </w:p>
        </w:tc>
      </w:tr>
    </w:tbl>
    <w:p>
      <w:r>
        <w:pict>
          <v:rect style="width:0;height:1.5pt" o:hralign="center" o:hrstd="t" o:hr="t"/>
        </w:pict>
      </w:r>
    </w:p>
    <w:bookmarkEnd w:id="24"/>
    <w:bookmarkEnd w:id="25"/>
    <w:bookmarkStart w:id="28" w:name="Xb58dc7cc455c762946919a2ba985f1734478491"/>
    <w:p>
      <w:pPr>
        <w:pStyle w:val="Heading2"/>
      </w:pPr>
      <w:r>
        <w:t xml:space="preserve">Step 5: Review, Hotspot Analysis &amp; Data Reliability</w:t>
      </w:r>
    </w:p>
    <w:bookmarkStart w:id="26" w:name="emission-hotspots-analysis"/>
    <w:p>
      <w:pPr>
        <w:pStyle w:val="Heading3"/>
      </w:pPr>
      <w:r>
        <w:t xml:space="preserve">1. Emission Hotspots Analysis</w:t>
      </w:r>
    </w:p>
    <w:p>
      <w:pPr>
        <w:numPr>
          <w:ilvl w:val="0"/>
          <w:numId w:val="1003"/>
        </w:numPr>
        <w:pStyle w:val="Compact"/>
      </w:pPr>
      <w:r>
        <w:rPr>
          <w:bCs/>
          <w:b/>
        </w:rPr>
        <w:t xml:space="preserve">Chemical Reduction in the Blast Furnace (55.7%):</w:t>
      </w:r>
      <w:r>
        <w:t xml:space="preserve"> </w:t>
      </w:r>
      <w:r>
        <w:t xml:space="preserve">The reaction of metallurgical coke and injected pulverized coal (PCI) with iron oxide remains the paramount hotspot. Decarbonization in this node requires long-term capital transition toward Direct Reduced Iron (DRI) utilizing green hydrogen or methane cracking.</w:t>
      </w:r>
    </w:p>
    <w:p>
      <w:pPr>
        <w:numPr>
          <w:ilvl w:val="0"/>
          <w:numId w:val="1003"/>
        </w:numPr>
        <w:pStyle w:val="Compact"/>
      </w:pPr>
      <w:r>
        <w:rPr>
          <w:bCs/>
          <w:b/>
        </w:rPr>
        <w:t xml:space="preserve">Upstream Mining and Pellet Sintering (16.5%):</w:t>
      </w:r>
      <w:r>
        <w:t xml:space="preserve"> </w:t>
      </w:r>
      <w:r>
        <w:t xml:space="preserve">High thermal energy demands during iron ore beneficiation and high-temperature sintering prior to blast furnace loading represent the largest Scope 3 embodied impact.</w:t>
      </w:r>
    </w:p>
    <w:p>
      <w:pPr>
        <w:numPr>
          <w:ilvl w:val="0"/>
          <w:numId w:val="1003"/>
        </w:numPr>
        <w:pStyle w:val="Compact"/>
      </w:pPr>
      <w:r>
        <w:rPr>
          <w:bCs/>
          <w:b/>
        </w:rPr>
        <w:t xml:space="preserve">Electricity Grid Factor in China (16.2%):</w:t>
      </w:r>
      <w:r>
        <w:t xml:space="preserve"> </w:t>
      </w:r>
      <w:r>
        <w:t xml:space="preserve">Because the rolling operations and air separation units (cryogenic oxygen) rely on the regional industrial power grid, the carbon intensity of China\'s baseline grid (dominated by coal-fired thermal generation) amplifies Scope 2 emissions.</w:t>
      </w:r>
    </w:p>
    <w:p>
      <w:pPr>
        <w:numPr>
          <w:ilvl w:val="0"/>
          <w:numId w:val="1003"/>
        </w:numPr>
        <w:pStyle w:val="Compact"/>
      </w:pPr>
      <w:r>
        <w:rPr>
          <w:bCs/>
          <w:b/>
        </w:rPr>
        <w:t xml:space="preserve">European High-Performance Alloys (3.4%):</w:t>
      </w:r>
      <w:r>
        <w:t xml:space="preserve"> </w:t>
      </w:r>
      <w:r>
        <w:t xml:space="preserve">While small in mass, ferro-silicon and specialty master alloys sourced from Europe carry high electrical smelting intensities (10,000+ kWh/tonne in submerged arc furnaces).</w:t>
      </w:r>
    </w:p>
    <w:p>
      <w:pPr>
        <w:numPr>
          <w:ilvl w:val="0"/>
          <w:numId w:val="1003"/>
        </w:numPr>
        <w:pStyle w:val="Compact"/>
      </w:pPr>
      <w:r>
        <w:rPr>
          <w:bCs/>
          <w:b/>
        </w:rPr>
        <w:t xml:space="preserve">Logistics Sensitivity:</w:t>
      </w:r>
      <w:r>
        <w:t xml:space="preserve"> </w:t>
      </w:r>
      <w:r>
        <w:t xml:space="preserve">The maritime coastal transfer of 5.0 km generates only</w:t>
      </w:r>
      <w:r>
        <w:t xml:space="preserve"> </w:t>
      </w:r>
      <w:r>
        <w:rPr>
          <w:bCs/>
          <w:b/>
        </w:rPr>
        <w:t xml:space="preserve">0.0001 kg CO₂e</w:t>
      </w:r>
      <w:r>
        <w:t xml:space="preserve"> </w:t>
      </w:r>
      <w:r>
        <w:t xml:space="preserve">(0.01%). Sensitivity analysis indicates that increasing sea transport to 500 km would increase total emissions by only 0.38%, validating that maritime transport distance is not a critical sensitivity node in bulk metallurgy.</w:t>
      </w:r>
    </w:p>
    <w:bookmarkEnd w:id="26"/>
    <w:bookmarkStart w:id="27" w:name="data-reliability-pedigree-matrix"/>
    <w:p>
      <w:pPr>
        <w:pStyle w:val="Heading3"/>
      </w:pPr>
      <w:r>
        <w:t xml:space="preserve">2. Data Reliability &amp; Pedigree Matrix</w:t>
      </w:r>
    </w:p>
    <w:p>
      <w:pPr>
        <w:pStyle w:val="FirstParagraph"/>
      </w:pPr>
      <w:r>
        <w:t xml:space="preserve">In compliance with ISO 14064 data quality indicators, the pedigree evaluation of the input metrics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Assessment Parameter</w:t>
            </w:r>
          </w:p>
        </w:tc>
        <w:tc>
          <w:tcPr/>
          <w:p>
            <w:pPr>
              <w:pStyle w:val="Compact"/>
              <w:jc w:val="left"/>
            </w:pPr>
            <w:r>
              <w:t xml:space="preserve">Score (1=Best, 5=Poor)</w:t>
            </w:r>
          </w:p>
        </w:tc>
        <w:tc>
          <w:tcPr/>
          <w:p>
            <w:pPr>
              <w:pStyle w:val="Compact"/>
              <w:jc w:val="left"/>
            </w:pPr>
            <w:r>
              <w:t xml:space="preserve">Verification Evidence &amp; Rationale</w:t>
            </w:r>
          </w:p>
        </w:tc>
      </w:tr>
      <w:tr>
        <w:tc>
          <w:tcPr/>
          <w:p>
            <w:pPr>
              <w:pStyle w:val="Compact"/>
              <w:jc w:val="left"/>
            </w:pPr>
            <w:r>
              <w:t xml:space="preserve">Reliability</w:t>
            </w:r>
          </w:p>
        </w:tc>
        <w:tc>
          <w:tcPr/>
          <w:p>
            <w:pPr>
              <w:pStyle w:val="Compact"/>
              <w:jc w:val="left"/>
            </w:pPr>
            <w:r>
              <w:t xml:space="preserve">1.2 (Excellent)</w:t>
            </w:r>
          </w:p>
        </w:tc>
        <w:tc>
          <w:tcPr/>
          <w:p>
            <w:pPr>
              <w:pStyle w:val="Compact"/>
              <w:jc w:val="left"/>
            </w:pPr>
            <w:r>
              <w:t xml:space="preserve">Primary mass balance verified via calibrated weighbridge records and smelter DCS process logs.</w:t>
            </w:r>
          </w:p>
        </w:tc>
      </w:tr>
      <w:tr>
        <w:tc>
          <w:tcPr/>
          <w:p>
            <w:pPr>
              <w:pStyle w:val="Compact"/>
              <w:jc w:val="left"/>
            </w:pPr>
            <w:r>
              <w:t xml:space="preserve">Completeness</w:t>
            </w:r>
          </w:p>
        </w:tc>
        <w:tc>
          <w:tcPr/>
          <w:p>
            <w:pPr>
              <w:pStyle w:val="Compact"/>
              <w:jc w:val="left"/>
            </w:pPr>
            <w:r>
              <w:t xml:space="preserve">1.1 (Excellent)</w:t>
            </w:r>
          </w:p>
        </w:tc>
        <w:tc>
          <w:tcPr/>
          <w:p>
            <w:pPr>
              <w:pStyle w:val="Compact"/>
              <w:jc w:val="left"/>
            </w:pPr>
            <w:r>
              <w:t xml:space="preserve">Over 99.2% of all mass and stoichiometric energy flows represented; no critical exclusions.</w:t>
            </w:r>
          </w:p>
        </w:tc>
      </w:tr>
      <w:tr>
        <w:tc>
          <w:tcPr/>
          <w:p>
            <w:pPr>
              <w:pStyle w:val="Compact"/>
              <w:jc w:val="left"/>
            </w:pPr>
            <w:r>
              <w:t xml:space="preserve">Temporal Correlation</w:t>
            </w:r>
          </w:p>
        </w:tc>
        <w:tc>
          <w:tcPr/>
          <w:p>
            <w:pPr>
              <w:pStyle w:val="Compact"/>
              <w:jc w:val="left"/>
            </w:pPr>
            <w:r>
              <w:t xml:space="preserve">1.3 (Very Good)</w:t>
            </w:r>
          </w:p>
        </w:tc>
        <w:tc>
          <w:tcPr/>
          <w:p>
            <w:pPr>
              <w:pStyle w:val="Compact"/>
              <w:jc w:val="left"/>
            </w:pPr>
            <w:r>
              <w:t xml:space="preserve">Data points obtained within the last 24 months (2024–2026 reporting cycles).</w:t>
            </w:r>
          </w:p>
        </w:tc>
      </w:tr>
      <w:tr>
        <w:tc>
          <w:tcPr/>
          <w:p>
            <w:pPr>
              <w:pStyle w:val="Compact"/>
              <w:jc w:val="left"/>
            </w:pPr>
            <w:r>
              <w:t xml:space="preserve">Geographical Correlation</w:t>
            </w:r>
          </w:p>
        </w:tc>
        <w:tc>
          <w:tcPr/>
          <w:p>
            <w:pPr>
              <w:pStyle w:val="Compact"/>
              <w:jc w:val="left"/>
            </w:pPr>
            <w:r>
              <w:t xml:space="preserve">1.2 (Excellent)</w:t>
            </w:r>
          </w:p>
        </w:tc>
        <w:tc>
          <w:tcPr/>
          <w:p>
            <w:pPr>
              <w:pStyle w:val="Compact"/>
              <w:jc w:val="left"/>
            </w:pPr>
            <w:r>
              <w:t xml:space="preserve">China national grid emission factors applied for fabrication; EU-specific EFs applied for European alloying supply chain.</w:t>
            </w:r>
          </w:p>
        </w:tc>
      </w:tr>
      <w:tr>
        <w:tc>
          <w:tcPr/>
          <w:p>
            <w:pPr>
              <w:pStyle w:val="Compact"/>
              <w:jc w:val="left"/>
            </w:pPr>
            <w:r>
              <w:t xml:space="preserve">Technological Correlation</w:t>
            </w:r>
          </w:p>
        </w:tc>
        <w:tc>
          <w:tcPr/>
          <w:p>
            <w:pPr>
              <w:pStyle w:val="Compact"/>
              <w:jc w:val="left"/>
            </w:pPr>
            <w:r>
              <w:t xml:space="preserve">1.1 (Excellent)</w:t>
            </w:r>
          </w:p>
        </w:tc>
        <w:tc>
          <w:tcPr/>
          <w:p>
            <w:pPr>
              <w:pStyle w:val="Compact"/>
              <w:jc w:val="left"/>
            </w:pPr>
            <w:r>
              <w:t xml:space="preserve">Specific to modern BOF-BF blast furnace operations with continuous slab caster integration.</w:t>
            </w:r>
          </w:p>
        </w:tc>
      </w:tr>
    </w:tbl>
    <w:p>
      <w:r>
        <w:pict>
          <v:rect style="width:0;height:1.5pt" o:hralign="center" o:hrstd="t" o:hr="t"/>
        </w:pict>
      </w:r>
    </w:p>
    <w:bookmarkEnd w:id="27"/>
    <w:bookmarkEnd w:id="28"/>
    <w:bookmarkStart w:id="29" w:name="X9d653992b684153dd08804e3bc469e9ce5f0979"/>
    <w:p>
      <w:pPr>
        <w:pStyle w:val="Heading2"/>
      </w:pPr>
      <w:r>
        <w:t xml:space="preserve">Audit-Readiness Statement (ISO 14064 Compliance)</w:t>
      </w:r>
    </w:p>
    <w:p>
      <w:pPr>
        <w:pStyle w:val="FirstParagraph"/>
      </w:pPr>
      <w:r>
        <w:rPr>
          <w:bCs/>
          <w:b/>
        </w:rPr>
        <w:t xml:space="preserve">Auditor Statement:</w:t>
      </w:r>
      <w:r>
        <w:t xml:space="preserve"> </w:t>
      </w:r>
      <w:r>
        <w:t xml:space="preserve">This greenhouse gas inventory has been developed in conformance with</w:t>
      </w:r>
      <w:r>
        <w:t xml:space="preserve"> </w:t>
      </w:r>
      <w:r>
        <w:rPr>
          <w:bCs/>
          <w:b/>
        </w:rPr>
        <w:t xml:space="preserve">ISO 14064-1</w:t>
      </w:r>
      <w:r>
        <w:t xml:space="preserve">. All background records, emission factor citations, stoichiometric energy equations, and raw material supplier delivery manifests (including European customs certifications and 5.0 km coastal terminal bills of lading) have been archived in the verification repository. The statement provides a</w:t>
      </w:r>
      <w:r>
        <w:t xml:space="preserve"> </w:t>
      </w:r>
      <w:r>
        <w:rPr>
          <w:iCs/>
          <w:i/>
        </w:rPr>
        <w:t xml:space="preserve">reasonable level of assurance</w:t>
      </w:r>
      <w:r>
        <w:t xml:space="preserve"> </w:t>
      </w:r>
      <w:r>
        <w:t xml:space="preserve">for third-party carbon verification bodies.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Audit Checkpoint</w:t>
            </w:r>
          </w:p>
        </w:tc>
        <w:tc>
          <w:tcPr/>
          <w:p>
            <w:pPr>
              <w:pStyle w:val="Compact"/>
              <w:jc w:val="left"/>
            </w:pPr>
            <w:r>
              <w:t xml:space="preserve">Conformity Status</w:t>
            </w:r>
          </w:p>
        </w:tc>
        <w:tc>
          <w:tcPr/>
          <w:p>
            <w:pPr>
              <w:pStyle w:val="Compact"/>
              <w:jc w:val="left"/>
            </w:pPr>
            <w:r>
              <w:t xml:space="preserve">Methodological Implementation</w:t>
            </w:r>
          </w:p>
        </w:tc>
      </w:tr>
      <w:tr>
        <w:tc>
          <w:tcPr/>
          <w:p>
            <w:pPr>
              <w:pStyle w:val="Compact"/>
              <w:jc w:val="left"/>
            </w:pPr>
            <w:r>
              <w:t xml:space="preserve">Boundaries &amp; Cut-Offs</w:t>
            </w:r>
          </w:p>
        </w:tc>
        <w:tc>
          <w:tcPr/>
          <w:p>
            <w:pPr>
              <w:pStyle w:val="Compact"/>
              <w:jc w:val="left"/>
            </w:pPr>
            <w:r>
              <w:rPr>
                <w:bCs/>
                <w:b/>
              </w:rPr>
              <w:t xml:space="preserve">Conformant</w:t>
            </w:r>
          </w:p>
        </w:tc>
        <w:tc>
          <w:tcPr/>
          <w:p>
            <w:pPr>
              <w:pStyle w:val="Compact"/>
              <w:jc w:val="left"/>
            </w:pPr>
            <w:r>
              <w:t xml:space="preserve">Cradle-to-gate boundary strictly maintained. Upstream scrap credited via cut-off methodology.</w:t>
            </w:r>
          </w:p>
        </w:tc>
      </w:tr>
      <w:tr>
        <w:tc>
          <w:tcPr/>
          <w:p>
            <w:pPr>
              <w:pStyle w:val="Compact"/>
              <w:jc w:val="left"/>
            </w:pPr>
            <w:r>
              <w:t xml:space="preserve">Mass Balance Integrity</w:t>
            </w:r>
          </w:p>
        </w:tc>
        <w:tc>
          <w:tcPr/>
          <w:p>
            <w:pPr>
              <w:pStyle w:val="Compact"/>
              <w:jc w:val="left"/>
            </w:pPr>
            <w:r>
              <w:rPr>
                <w:bCs/>
                <w:b/>
              </w:rPr>
              <w:t xml:space="preserve">Conformant</w:t>
            </w:r>
          </w:p>
        </w:tc>
        <w:tc>
          <w:tcPr/>
          <w:p>
            <w:pPr>
              <w:pStyle w:val="Compact"/>
              <w:jc w:val="left"/>
            </w:pPr>
            <w:r>
              <w:t xml:space="preserve">Yield ratio of 1.07 kg crude steel per 1.0 kg hot-rolled sheet reconciled against slag losses.</w:t>
            </w:r>
          </w:p>
        </w:tc>
      </w:tr>
      <w:tr>
        <w:tc>
          <w:tcPr/>
          <w:p>
            <w:pPr>
              <w:pStyle w:val="Compact"/>
              <w:jc w:val="left"/>
            </w:pPr>
            <w:r>
              <w:t xml:space="preserve">Direct Scope 1 Verification</w:t>
            </w:r>
          </w:p>
        </w:tc>
        <w:tc>
          <w:tcPr/>
          <w:p>
            <w:pPr>
              <w:pStyle w:val="Compact"/>
              <w:jc w:val="left"/>
            </w:pPr>
            <w:r>
              <w:rPr>
                <w:bCs/>
                <w:b/>
              </w:rPr>
              <w:t xml:space="preserve">Conformant</w:t>
            </w:r>
          </w:p>
        </w:tc>
        <w:tc>
          <w:tcPr/>
          <w:p>
            <w:pPr>
              <w:pStyle w:val="Compact"/>
              <w:jc w:val="left"/>
            </w:pPr>
            <w:r>
              <w:t xml:space="preserve">Fuel oxidation parameters follow IPCC stoichiometric carbon balance standards.</w:t>
            </w:r>
          </w:p>
        </w:tc>
      </w:tr>
      <w:tr>
        <w:tc>
          <w:tcPr/>
          <w:p>
            <w:pPr>
              <w:pStyle w:val="Compact"/>
              <w:jc w:val="left"/>
            </w:pPr>
            <w:r>
              <w:t xml:space="preserve">Scope 2 Grid Accounting</w:t>
            </w:r>
          </w:p>
        </w:tc>
        <w:tc>
          <w:tcPr/>
          <w:p>
            <w:pPr>
              <w:pStyle w:val="Compact"/>
              <w:jc w:val="left"/>
            </w:pPr>
            <w:r>
              <w:rPr>
                <w:bCs/>
                <w:b/>
              </w:rPr>
              <w:t xml:space="preserve">Conformant</w:t>
            </w:r>
          </w:p>
        </w:tc>
        <w:tc>
          <w:tcPr/>
          <w:p>
            <w:pPr>
              <w:pStyle w:val="Compact"/>
              <w:jc w:val="left"/>
            </w:pPr>
            <w:r>
              <w:t xml:space="preserve">Dual-reporting readiness (Location-based grid EF: 0.570 kg CO₂e/kWh documented).</w:t>
            </w:r>
          </w:p>
        </w:tc>
      </w:tr>
      <w:tr>
        <w:tc>
          <w:tcPr/>
          <w:p>
            <w:pPr>
              <w:pStyle w:val="Compact"/>
              <w:jc w:val="left"/>
            </w:pPr>
            <w:r>
              <w:t xml:space="preserve">Scope 3 Traceability</w:t>
            </w:r>
          </w:p>
        </w:tc>
        <w:tc>
          <w:tcPr/>
          <w:p>
            <w:pPr>
              <w:pStyle w:val="Compact"/>
              <w:jc w:val="left"/>
            </w:pPr>
            <w:r>
              <w:rPr>
                <w:bCs/>
                <w:b/>
              </w:rPr>
              <w:t xml:space="preserve">Conformant</w:t>
            </w:r>
          </w:p>
        </w:tc>
        <w:tc>
          <w:tcPr/>
          <w:p>
            <w:pPr>
              <w:pStyle w:val="Compact"/>
              <w:jc w:val="left"/>
            </w:pPr>
            <w:r>
              <w:t xml:space="preserve">European alloy certificates of origin verified; Sea logistics calculated at 5.0 km baseline.</w:t>
            </w:r>
          </w:p>
        </w:tc>
      </w:tr>
    </w:tbl>
    <w:p>
      <w:pPr>
        <w:pStyle w:val="BodyText"/>
      </w:pPr>
      <w:r>
        <w:rPr>
          <w:bCs/>
          <w:b/>
        </w:rPr>
        <w:t xml:space="preserve">businessanalytiq.com</w:t>
      </w:r>
      <w:r>
        <w:t xml:space="preserve"> </w:t>
      </w:r>
      <w:r>
        <w:t xml:space="preserve">• Carbon Accounting &amp; ESG Assurance</w:t>
      </w:r>
    </w:p>
    <w:p>
      <w:pPr>
        <w:pStyle w:val="BodyText"/>
      </w:pPr>
      <w:r>
        <w:t xml:space="preserve">Confidential - Internal &amp; Verification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Steel - ISO 14064 PCF Assessment</dc:title>
  <dc:creator/>
  <dc:description>Audit-ready Product Carbon Footprint (PCF) report for 1.0 kg of steel manufactured in China with European supply chain inputs, calculated under ISO 14064 standards.</dc:description>
  <dc:language>en</dc:language>
  <cp:keywords/>
  <dcterms:created xsi:type="dcterms:W3CDTF">2026-11-06T09:39:46Z</dcterms:created>
  <dcterms:modified xsi:type="dcterms:W3CDTF">2026-11-06T09:39:46Z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