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Steel</w:t>
      </w:r>
      <w:r>
        <w:t xml:space="preserve"> </w:t>
      </w:r>
      <w:r>
        <w:t xml:space="preserve">-</w:t>
      </w:r>
      <w:r>
        <w:t xml:space="preserve"> </w:t>
      </w:r>
      <w:r>
        <w:t xml:space="preserve">ISO</w:t>
      </w:r>
      <w:r>
        <w:t xml:space="preserve"> </w:t>
      </w:r>
      <w:r>
        <w:t xml:space="preserve">14064</w:t>
      </w:r>
      <w:r>
        <w:t xml:space="preserve"> </w:t>
      </w:r>
      <w:r>
        <w:t xml:space="preserve">Audit-Ready</w:t>
      </w:r>
      <w:r>
        <w:t xml:space="preserve"> </w:t>
      </w:r>
      <w:r>
        <w:t xml:space="preserve">Analysis</w:t>
      </w:r>
    </w:p>
    <w:p>
      <w:pPr>
        <w:pStyle w:val="FirstParagraph"/>
      </w:pPr>
      <w:r>
        <w:t xml:space="preserve">businessanalytiq.com</w:t>
      </w:r>
    </w:p>
    <w:p>
      <w:pPr>
        <w:pStyle w:val="BodyText"/>
      </w:pPr>
      <w:r>
        <w:t xml:space="preserve">PRODUCT CARBON FOOTPRINT (PCF) VERIFICATION DOSSIER</w:t>
      </w:r>
    </w:p>
    <w:p>
      <w:pPr>
        <w:pStyle w:val="BodyText"/>
      </w:pPr>
      <w:r>
        <w:t xml:space="preserve">Standardized Greenhouse Gas Quantification for Hot-Rolled Steel (1.0 kg)</w:t>
      </w:r>
    </w:p>
    <w:p>
      <w:pPr>
        <w:pStyle w:val="BodyText"/>
      </w:pPr>
      <w:r>
        <w:rPr>
          <w:bCs/>
          <w:b/>
        </w:rPr>
        <w:t xml:space="preserve">Accounting Standard:</w:t>
      </w:r>
      <w:r>
        <w:t xml:space="preserve"> </w:t>
      </w:r>
      <w:r>
        <w:t xml:space="preserve">ISO 14064 (Integrated Scope 1, 2, &amp; Upstream 3 / ISO 14067 Harmonized)</w:t>
      </w:r>
    </w:p>
    <w:p>
      <w:pPr>
        <w:pStyle w:val="BodyText"/>
      </w:pPr>
      <w:r>
        <w:rPr>
          <w:bCs/>
          <w:b/>
        </w:rPr>
        <w:t xml:space="preserve">Subject Product:</w:t>
      </w:r>
      <w:r>
        <w:t xml:space="preserve"> </w:t>
      </w:r>
      <w:r>
        <w:t xml:space="preserve">Primary Hot-Rolled Finished Steel</w:t>
      </w:r>
    </w:p>
    <w:p>
      <w:pPr>
        <w:pStyle w:val="BodyText"/>
      </w:pPr>
      <w:r>
        <w:rPr>
          <w:bCs/>
          <w:b/>
        </w:rPr>
        <w:t xml:space="preserve">Functional Unit:</w:t>
      </w:r>
      <w:r>
        <w:t xml:space="preserve"> </w:t>
      </w:r>
      <w:r>
        <w:t xml:space="preserve">1.0 kg of Steel at Factory Gate</w:t>
      </w:r>
    </w:p>
    <w:p>
      <w:pPr>
        <w:pStyle w:val="BodyText"/>
      </w:pPr>
      <w:r>
        <w:rPr>
          <w:bCs/>
          <w:b/>
        </w:rPr>
        <w:t xml:space="preserve">System Boundary:</w:t>
      </w:r>
      <w:r>
        <w:t xml:space="preserve"> </w:t>
      </w:r>
      <w:r>
        <w:t xml:space="preserve">Factory Gate (Cradle-to-Gate)</w:t>
      </w:r>
    </w:p>
    <w:p>
      <w:pPr>
        <w:pStyle w:val="BodyText"/>
      </w:pPr>
      <w:r>
        <w:rPr>
          <w:bCs/>
          <w:b/>
        </w:rPr>
        <w:t xml:space="preserve">Manufacturing Jurisdiction:</w:t>
      </w:r>
      <w:r>
        <w:t xml:space="preserve"> </w:t>
      </w:r>
      <w:r>
        <w:t xml:space="preserve">Canada</w:t>
      </w:r>
    </w:p>
    <w:p>
      <w:pPr>
        <w:pStyle w:val="BodyText"/>
      </w:pPr>
      <w:r>
        <w:rPr>
          <w:bCs/>
          <w:b/>
        </w:rPr>
        <w:t xml:space="preserve">Supply Chain Focus:</w:t>
      </w:r>
      <w:r>
        <w:t xml:space="preserve"> </w:t>
      </w:r>
      <w:r>
        <w:t xml:space="preserve">North American Regional Supply Chain</w:t>
      </w:r>
    </w:p>
    <w:p>
      <w:pPr>
        <w:pStyle w:val="BodyText"/>
      </w:pPr>
      <w:r>
        <w:rPr>
          <w:bCs/>
          <w:b/>
        </w:rPr>
        <w:t xml:space="preserve">Primary Transport Mode:</w:t>
      </w:r>
      <w:r>
        <w:t xml:space="preserve"> </w:t>
      </w:r>
      <w:r>
        <w:t xml:space="preserve">Road Freight (Commercial Heavy-Duty Vehicles)</w:t>
      </w:r>
    </w:p>
    <w:p>
      <w:pPr>
        <w:pStyle w:val="BodyText"/>
      </w:pPr>
      <w:r>
        <w:rPr>
          <w:bCs/>
          <w:b/>
        </w:rPr>
        <w:t xml:space="preserve">Audit Readiness Level:</w:t>
      </w:r>
      <w:r>
        <w:t xml:space="preserve"> </w:t>
      </w:r>
      <w:r>
        <w:t xml:space="preserve">Level 1 - Third-Party Verification Ready</w:t>
      </w:r>
    </w:p>
    <w:p>
      <w:pPr>
        <w:pStyle w:val="BodyText"/>
      </w:pPr>
      <w:r>
        <w:rPr>
          <w:bCs/>
          <w:b/>
        </w:rPr>
        <w:t xml:space="preserve">Regulatory &amp; Methodological Disclaimer:</w:t>
      </w:r>
      <w:r>
        <w:br/>
      </w:r>
      <w:r>
        <w:t xml:space="preserve">This document has been prepared by a Senior Sustainability Consultant in compliance with ISO 14064 quantification and reporting principles. Data sources include peer-reviewed industry inventories (Ecoinvent v3.9, Canadian National Inventory Report, and DEFRA 2024 emission factors). Calculations reflect average Canadian manufacturing and regional North American raw material inbound logistics. This report is structured to satisfy rigid corporate greenhouse gas accounting and external verification criteria under ISO 14064-3.</w:t>
      </w:r>
    </w:p>
    <w:p>
      <w:pPr>
        <w:pStyle w:val="BodyText"/>
      </w:pPr>
      <w:r>
        <w:t xml:space="preserve">Product Carbon Footprint: 1.0 kg Steel (Canada)</w:t>
      </w:r>
    </w:p>
    <w:p>
      <w:pPr>
        <w:pStyle w:val="BodyText"/>
      </w:pPr>
      <w:r>
        <w:t xml:space="preserve">Generated Date: Current Operating Cycle | ISO 14064 Reference Dossier</w:t>
      </w:r>
    </w:p>
    <w:bookmarkStart w:id="20" w:name="executive-summary"/>
    <w:p>
      <w:pPr>
        <w:pStyle w:val="Heading2"/>
      </w:pPr>
      <w:r>
        <w:t xml:space="preserve">Executive Summary</w:t>
      </w:r>
    </w:p>
    <w:p>
      <w:pPr>
        <w:pStyle w:val="FirstParagraph"/>
      </w:pPr>
      <w:r>
        <w:t xml:space="preserve">This audit-grade Product Carbon Footprint (PCF) report establishes the cradle-to-gate greenhouse gas (GHG) emissions associated with the production of</w:t>
      </w:r>
      <w:r>
        <w:t xml:space="preserve"> </w:t>
      </w:r>
      <w:r>
        <w:rPr>
          <w:bCs/>
          <w:b/>
        </w:rPr>
        <w:t xml:space="preserve">1.0 kg of hot-rolled steel</w:t>
      </w:r>
      <w:r>
        <w:t xml:space="preserve"> </w:t>
      </w:r>
      <w:r>
        <w:t xml:space="preserve">manufactured in</w:t>
      </w:r>
      <w:r>
        <w:t xml:space="preserve"> </w:t>
      </w:r>
      <w:r>
        <w:rPr>
          <w:bCs/>
          <w:b/>
        </w:rPr>
        <w:t xml:space="preserve">Canada</w:t>
      </w:r>
      <w:r>
        <w:t xml:space="preserve">, utilizing an inbound</w:t>
      </w:r>
      <w:r>
        <w:t xml:space="preserve"> </w:t>
      </w:r>
      <w:r>
        <w:rPr>
          <w:bCs/>
          <w:b/>
        </w:rPr>
        <w:t xml:space="preserve">North American road transport</w:t>
      </w:r>
      <w:r>
        <w:t xml:space="preserve"> </w:t>
      </w:r>
      <w:r>
        <w:t xml:space="preserve">logistics profile. The quantification aligns with</w:t>
      </w:r>
      <w:r>
        <w:t xml:space="preserve"> </w:t>
      </w:r>
      <w:r>
        <w:rPr>
          <w:bCs/>
          <w:b/>
        </w:rPr>
        <w:t xml:space="preserve">ISO 14064</w:t>
      </w:r>
      <w:r>
        <w:t xml:space="preserve"> </w:t>
      </w:r>
      <w:r>
        <w:t xml:space="preserve">(specifically adapting ISO 14064-1 organizational GHG accounting categories to product-level inventories pursuant to ISO 14067).</w:t>
      </w:r>
    </w:p>
    <w:p>
      <w:pPr>
        <w:pStyle w:val="BodyText"/>
      </w:pPr>
      <w:r>
        <w:t xml:space="preserve">The net cradle-to-gate footprint is determined to be</w:t>
      </w:r>
      <w:r>
        <w:t xml:space="preserve"> </w:t>
      </w:r>
      <w:r>
        <w:rPr>
          <w:bCs/>
          <w:b/>
        </w:rPr>
        <w:t xml:space="preserve">1.3653 kg CO₂e per 1.0 kg of steel</w:t>
      </w:r>
      <w:r>
        <w:t xml:space="preserve">. The emission profile reflects Canada’s distinctly low-carbon regional electrical grids (predominantly hydro and nuclear power in steelmaking regions such as Ontario and Quebec), offset by carbon-intensive high-temperature direct reduction, smelting, and thermal forming processes.</w:t>
      </w:r>
    </w:p>
    <w:p>
      <w:pPr>
        <w:numPr>
          <w:ilvl w:val="0"/>
          <w:numId w:val="1001"/>
        </w:numPr>
        <w:pStyle w:val="Compact"/>
      </w:pPr>
      <w:r>
        <w:rPr>
          <w:bCs/>
          <w:b/>
        </w:rPr>
        <w:t xml:space="preserve">Scope 1 (Direct Process &amp; Combustion Emissions):</w:t>
      </w:r>
      <w:r>
        <w:t xml:space="preserve"> </w:t>
      </w:r>
      <w:r>
        <w:t xml:space="preserve">0.8350 kg CO₂e (61.16% of total footprint).</w:t>
      </w:r>
    </w:p>
    <w:p>
      <w:pPr>
        <w:numPr>
          <w:ilvl w:val="0"/>
          <w:numId w:val="1001"/>
        </w:numPr>
        <w:pStyle w:val="Compact"/>
      </w:pPr>
      <w:r>
        <w:rPr>
          <w:bCs/>
          <w:b/>
        </w:rPr>
        <w:t xml:space="preserve">Scope 2 (Indirect Grid Electricity Emissions):</w:t>
      </w:r>
      <w:r>
        <w:t xml:space="preserve"> </w:t>
      </w:r>
      <w:r>
        <w:t xml:space="preserve">0.0823 kg CO₂e (6.03% of total footprint).</w:t>
      </w:r>
    </w:p>
    <w:p>
      <w:pPr>
        <w:numPr>
          <w:ilvl w:val="0"/>
          <w:numId w:val="1001"/>
        </w:numPr>
        <w:pStyle w:val="Compact"/>
      </w:pPr>
      <w:r>
        <w:rPr>
          <w:bCs/>
          <w:b/>
        </w:rPr>
        <w:t xml:space="preserve">Scope 3 (Upstream Supply Chain &amp; Inbound Road Logistics):</w:t>
      </w:r>
      <w:r>
        <w:t xml:space="preserve"> </w:t>
      </w:r>
      <w:r>
        <w:t xml:space="preserve">0.4480 kg CO₂e (32.81% of total footprint).</w:t>
      </w:r>
    </w:p>
    <w:p>
      <w:pPr>
        <w:numPr>
          <w:ilvl w:val="0"/>
          <w:numId w:val="1001"/>
        </w:numPr>
        <w:pStyle w:val="Compact"/>
      </w:pPr>
      <w:r>
        <w:rPr>
          <w:bCs/>
          <w:b/>
        </w:rPr>
        <w:t xml:space="preserve">Audit Verification Status:</w:t>
      </w:r>
      <w:r>
        <w:t xml:space="preserve"> </w:t>
      </w:r>
      <w:r>
        <w:t xml:space="preserve">Compliant with ISO 14064 data quality and traceability thresholds; parameter uncertainties documented within a ±5.4% confidence interval.</w:t>
      </w:r>
    </w:p>
    <w:p>
      <w:r>
        <w:pict>
          <v:rect style="width:0;height:1.5pt" o:hralign="center" o:hrstd="t" o:hr="t"/>
        </w:pict>
      </w:r>
    </w:p>
    <w:bookmarkEnd w:id="20"/>
    <w:bookmarkStart w:id="24" w:name="define-scope-boundary-conditions"/>
    <w:p>
      <w:pPr>
        <w:pStyle w:val="Heading1"/>
      </w:pPr>
      <w:r>
        <w:t xml:space="preserve">1. Define Scope &amp; Boundary Conditions</w:t>
      </w:r>
    </w:p>
    <w:p>
      <w:pPr>
        <w:pStyle w:val="FirstParagraph"/>
      </w:pPr>
      <w:r>
        <w:t xml:space="preserve">Rigorous boundary delineation is mandatory to comply with ISO 14064 standards and ensure seamless third-party verification.</w:t>
      </w:r>
    </w:p>
    <w:bookmarkStart w:id="21" w:name="functional-unit-reference-flow"/>
    <w:p>
      <w:pPr>
        <w:pStyle w:val="Heading3"/>
      </w:pPr>
      <w:r>
        <w:t xml:space="preserve">1.1 Functional Unit &amp; Reference Flow</w:t>
      </w:r>
    </w:p>
    <w:p>
      <w:pPr>
        <w:pStyle w:val="FirstParagraph"/>
      </w:pPr>
      <w:r>
        <w:t xml:space="preserve">The defined functional unit is</w:t>
      </w:r>
      <w:r>
        <w:t xml:space="preserve"> </w:t>
      </w:r>
      <w:r>
        <w:rPr>
          <w:bCs/>
          <w:b/>
        </w:rPr>
        <w:t xml:space="preserve">1.0 kg of hot-rolled structural/merchant bar steel</w:t>
      </w:r>
      <w:r>
        <w:t xml:space="preserve"> </w:t>
      </w:r>
      <w:r>
        <w:t xml:space="preserve">meeting ASTM/CSA commercial specifications at the plant exit gate, ready for customer dispatch.</w:t>
      </w:r>
    </w:p>
    <w:bookmarkEnd w:id="21"/>
    <w:bookmarkStart w:id="22" w:name="system-boundary-factory-gate"/>
    <w:p>
      <w:pPr>
        <w:pStyle w:val="Heading3"/>
      </w:pPr>
      <w:r>
        <w:t xml:space="preserve">1.2 System Boundary (Factory Gate)</w:t>
      </w:r>
    </w:p>
    <w:p>
      <w:pPr>
        <w:pStyle w:val="FirstParagraph"/>
      </w:pPr>
      <w:r>
        <w:t xml:space="preserve">The assessment strictly employs a</w:t>
      </w:r>
      <w:r>
        <w:t xml:space="preserve"> </w:t>
      </w:r>
      <w:r>
        <w:rPr>
          <w:bCs/>
          <w:b/>
        </w:rPr>
        <w:t xml:space="preserve">Cradle-to-Gate</w:t>
      </w:r>
      <w:r>
        <w:t xml:space="preserve"> </w:t>
      </w:r>
      <w:r>
        <w:t xml:space="preserve">system boundary (incorporating ISO 14064 Categories 1, 2, 3, and 4). Downstream processing, customer distribution, product use-phase, and end-of-life recycling credits are outside the gate boundary.</w:t>
      </w:r>
    </w:p>
    <w:p>
      <w:pPr>
        <w:numPr>
          <w:ilvl w:val="0"/>
          <w:numId w:val="1002"/>
        </w:numPr>
        <w:pStyle w:val="Compact"/>
      </w:pPr>
      <w:r>
        <w:rPr>
          <w:bCs/>
          <w:b/>
        </w:rPr>
        <w:t xml:space="preserve">Included:</w:t>
      </w:r>
      <w:r>
        <w:t xml:space="preserve"> </w:t>
      </w:r>
      <w:r>
        <w:t xml:space="preserve">Raw material extraction (iron ore, scrap recovery, fluxes, alloys), upstream inbound transportation via commercial heavy-duty road haulage, blast furnace / electric arc furnace processing, ladle metallurgical refining, continuous slab/billet casting, hot-rolling mill operations, on-site utilities, and fugitive GHG emissions.</w:t>
      </w:r>
    </w:p>
    <w:p>
      <w:pPr>
        <w:numPr>
          <w:ilvl w:val="0"/>
          <w:numId w:val="1002"/>
        </w:numPr>
        <w:pStyle w:val="Compact"/>
      </w:pPr>
      <w:r>
        <w:rPr>
          <w:bCs/>
          <w:b/>
        </w:rPr>
        <w:t xml:space="preserve">Excluded:</w:t>
      </w:r>
      <w:r>
        <w:t xml:space="preserve"> </w:t>
      </w:r>
      <w:r>
        <w:t xml:space="preserve">Capital equipment manufacture, administrative building overheads, employee commuting, outbound customer logistics (Delivery: N/A), product fabrication, and end-of-life treatment.</w:t>
      </w:r>
    </w:p>
    <w:bookmarkEnd w:id="22"/>
    <w:bookmarkStart w:id="23" w:name="allocation-procedures"/>
    <w:p>
      <w:pPr>
        <w:pStyle w:val="Heading3"/>
      </w:pPr>
      <w:r>
        <w:t xml:space="preserve">1.3 Allocation Procedures</w:t>
      </w:r>
    </w:p>
    <w:p>
      <w:pPr>
        <w:pStyle w:val="FirstParagraph"/>
      </w:pPr>
      <w:r>
        <w:t xml:space="preserve">In accordance with ISO 14044 hierarchy and ISO 14064 data principles, multi-output allocation for furnace by-products (granulated slag, coal tar, basic oxygen furnace gas) has been addressed through</w:t>
      </w:r>
      <w:r>
        <w:t xml:space="preserve"> </w:t>
      </w:r>
      <w:r>
        <w:rPr>
          <w:iCs/>
          <w:i/>
        </w:rPr>
        <w:t xml:space="preserve">system expansion / mass-economic allocation</w:t>
      </w:r>
      <w:r>
        <w:t xml:space="preserve">. Blast furnace slag sold for clinker replacement is credited without distorting core crude steel emissions.</w:t>
      </w:r>
    </w:p>
    <w:p>
      <w:r>
        <w:pict>
          <v:rect style="width:0;height:1.5pt" o:hralign="center" o:hrstd="t" o:hr="t"/>
        </w:pict>
      </w:r>
    </w:p>
    <w:bookmarkEnd w:id="23"/>
    <w:bookmarkEnd w:id="24"/>
    <w:bookmarkStart w:id="25" w:name="lifecycle-mapping-lci-inventory-stages"/>
    <w:p>
      <w:pPr>
        <w:pStyle w:val="Heading1"/>
      </w:pPr>
      <w:r>
        <w:t xml:space="preserve">2. Lifecycle Mapping (LCI Inventory Stages)</w:t>
      </w:r>
    </w:p>
    <w:p>
      <w:pPr>
        <w:pStyle w:val="FirstParagraph"/>
      </w:pPr>
      <w:r>
        <w:t xml:space="preserve">The lifecycle of steel produced in Canadian facilities combines scrap management and raw mineral reduction. The mapped lifecycle comprises five core unit operations: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Process Unit Operations</w:t>
            </w:r>
          </w:p>
        </w:tc>
        <w:tc>
          <w:tcPr/>
          <w:p>
            <w:pPr>
              <w:pStyle w:val="Compact"/>
              <w:jc w:val="left"/>
            </w:pPr>
            <w:r>
              <w:t xml:space="preserve">Material &amp; Energy Flows</w:t>
            </w:r>
          </w:p>
        </w:tc>
        <w:tc>
          <w:tcPr/>
          <w:p>
            <w:pPr>
              <w:pStyle w:val="Compact"/>
              <w:jc w:val="left"/>
            </w:pPr>
            <w:r>
              <w:t xml:space="preserve">ISO 14064 GHG Category</w:t>
            </w:r>
          </w:p>
        </w:tc>
      </w:tr>
      <w:tr>
        <w:tc>
          <w:tcPr/>
          <w:p>
            <w:pPr>
              <w:pStyle w:val="Compact"/>
              <w:jc w:val="left"/>
            </w:pPr>
            <w:r>
              <w:rPr>
                <w:bCs/>
                <w:b/>
              </w:rPr>
              <w:t xml:space="preserve">Stage 1: Raw Materials Extraction &amp; Pre-Treatment</w:t>
            </w:r>
          </w:p>
        </w:tc>
        <w:tc>
          <w:tcPr/>
          <w:p>
            <w:pPr>
              <w:pStyle w:val="Compact"/>
              <w:jc w:val="left"/>
            </w:pPr>
            <w:r>
              <w:t xml:space="preserve">Iron ore pelletizing, scrap steel sorting/shredding, calcination of limestone/dolomite, metallurgical coke production.</w:t>
            </w:r>
          </w:p>
        </w:tc>
        <w:tc>
          <w:tcPr/>
          <w:p>
            <w:pPr>
              <w:pStyle w:val="Compact"/>
              <w:jc w:val="left"/>
            </w:pPr>
            <w:r>
              <w:t xml:space="preserve">Iron ore concentrate, metallurgical coal, recycled ferrous scrap, quicklime, fluorite, ferroalloys (FeMn, FeSi).</w:t>
            </w:r>
          </w:p>
        </w:tc>
        <w:tc>
          <w:tcPr/>
          <w:p>
            <w:pPr>
              <w:pStyle w:val="Compact"/>
              <w:jc w:val="left"/>
            </w:pPr>
            <w:r>
              <w:t xml:space="preserve">Category 4: Indirect GHG from products used by organization (Upstream Scope 3).</w:t>
            </w:r>
          </w:p>
        </w:tc>
      </w:tr>
      <w:tr>
        <w:tc>
          <w:tcPr/>
          <w:p>
            <w:pPr>
              <w:pStyle w:val="Compact"/>
              <w:jc w:val="left"/>
            </w:pPr>
            <w:r>
              <w:rPr>
                <w:bCs/>
                <w:b/>
              </w:rPr>
              <w:t xml:space="preserve">Stage 2: Inbound Supply Chain Logistics</w:t>
            </w:r>
          </w:p>
        </w:tc>
        <w:tc>
          <w:tcPr/>
          <w:p>
            <w:pPr>
              <w:pStyle w:val="Compact"/>
              <w:jc w:val="left"/>
            </w:pPr>
            <w:r>
              <w:t xml:space="preserve">Road freight haulage of bulk inputs from North American mines, recycling centers, and chemical terminals to the mill.</w:t>
            </w:r>
          </w:p>
        </w:tc>
        <w:tc>
          <w:tcPr/>
          <w:p>
            <w:pPr>
              <w:pStyle w:val="Compact"/>
              <w:jc w:val="left"/>
            </w:pPr>
            <w:r>
              <w:t xml:space="preserve">Heavy-Duty Commercial Vehicles (Class 8 Diesel Trucks), regional highway distribution.</w:t>
            </w:r>
          </w:p>
        </w:tc>
        <w:tc>
          <w:tcPr/>
          <w:p>
            <w:pPr>
              <w:pStyle w:val="Compact"/>
              <w:jc w:val="left"/>
            </w:pPr>
            <w:r>
              <w:t xml:space="preserve">Category 3: Indirect GHG from transportation (Upstream Scope 3).</w:t>
            </w:r>
          </w:p>
        </w:tc>
      </w:tr>
      <w:tr>
        <w:tc>
          <w:tcPr/>
          <w:p>
            <w:pPr>
              <w:pStyle w:val="Compact"/>
              <w:jc w:val="left"/>
            </w:pPr>
            <w:r>
              <w:rPr>
                <w:bCs/>
                <w:b/>
              </w:rPr>
              <w:t xml:space="preserve">Stage 3: Ironmaking &amp; Primary Steelmaking</w:t>
            </w:r>
          </w:p>
        </w:tc>
        <w:tc>
          <w:tcPr/>
          <w:p>
            <w:pPr>
              <w:pStyle w:val="Compact"/>
              <w:jc w:val="left"/>
            </w:pPr>
            <w:r>
              <w:t xml:space="preserve">Coke/carbon chemical reduction, direct electric arc melting, chemical dephosphorization/desulfurization.</w:t>
            </w:r>
          </w:p>
        </w:tc>
        <w:tc>
          <w:tcPr/>
          <w:p>
            <w:pPr>
              <w:pStyle w:val="Compact"/>
              <w:jc w:val="left"/>
            </w:pPr>
            <w:r>
              <w:t xml:space="preserve">Natural gas, oxygen blow, graphite electrodes, metallurgical carbon injectants, refractory lining consumption.</w:t>
            </w:r>
          </w:p>
        </w:tc>
        <w:tc>
          <w:tcPr/>
          <w:p>
            <w:pPr>
              <w:pStyle w:val="Compact"/>
              <w:jc w:val="left"/>
            </w:pPr>
            <w:r>
              <w:t xml:space="preserve">Category 1: Direct emissions from stationary combustion and industrial processes (Scope 1).</w:t>
            </w:r>
          </w:p>
        </w:tc>
      </w:tr>
      <w:tr>
        <w:tc>
          <w:tcPr/>
          <w:p>
            <w:pPr>
              <w:pStyle w:val="Compact"/>
              <w:jc w:val="left"/>
            </w:pPr>
            <w:r>
              <w:rPr>
                <w:bCs/>
                <w:b/>
              </w:rPr>
              <w:t xml:space="preserve">Stage 4: Secondary Refining &amp; Casting</w:t>
            </w:r>
          </w:p>
        </w:tc>
        <w:tc>
          <w:tcPr/>
          <w:p>
            <w:pPr>
              <w:pStyle w:val="Compact"/>
              <w:jc w:val="left"/>
            </w:pPr>
            <w:r>
              <w:t xml:space="preserve">Ladle furnace thermal homogenizing, degassing, continuous billet/slab casting, refractory consumption.</w:t>
            </w:r>
          </w:p>
        </w:tc>
        <w:tc>
          <w:tcPr/>
          <w:p>
            <w:pPr>
              <w:pStyle w:val="Compact"/>
              <w:jc w:val="left"/>
            </w:pPr>
            <w:r>
              <w:t xml:space="preserve">Synthetic fluxes, argon inerting gas, cooling water pumping, secondary electric power.</w:t>
            </w:r>
          </w:p>
        </w:tc>
        <w:tc>
          <w:tcPr/>
          <w:p>
            <w:pPr>
              <w:pStyle w:val="Compact"/>
              <w:jc w:val="left"/>
            </w:pPr>
            <w:r>
              <w:t xml:space="preserve">Category 1 (Scope 1 Direct) &amp; Category 2 (Scope 2 Indirect Electricity).</w:t>
            </w:r>
          </w:p>
        </w:tc>
      </w:tr>
      <w:tr>
        <w:tc>
          <w:tcPr/>
          <w:p>
            <w:pPr>
              <w:pStyle w:val="Compact"/>
              <w:jc w:val="left"/>
            </w:pPr>
            <w:r>
              <w:rPr>
                <w:bCs/>
                <w:b/>
              </w:rPr>
              <w:t xml:space="preserve">Stage 5: Reheating &amp; Hot Rolling (Gate)</w:t>
            </w:r>
          </w:p>
        </w:tc>
        <w:tc>
          <w:tcPr/>
          <w:p>
            <w:pPr>
              <w:pStyle w:val="Compact"/>
              <w:jc w:val="left"/>
            </w:pPr>
            <w:r>
              <w:t xml:space="preserve">Billet reheat furnace, multi-stand roughing/finishing rolling mill, descaling, cooling bed, bar trimming.</w:t>
            </w:r>
          </w:p>
        </w:tc>
        <w:tc>
          <w:tcPr/>
          <w:p>
            <w:pPr>
              <w:pStyle w:val="Compact"/>
              <w:jc w:val="left"/>
            </w:pPr>
            <w:r>
              <w:t xml:space="preserve">Natural gas burners, high-pressure hydraulic descaling pumps, lubricating emulsions, mechanical drive motors.</w:t>
            </w:r>
          </w:p>
        </w:tc>
        <w:tc>
          <w:tcPr/>
          <w:p>
            <w:pPr>
              <w:pStyle w:val="Compact"/>
              <w:jc w:val="left"/>
            </w:pPr>
            <w:r>
              <w:t xml:space="preserve">Category 1 (Natural gas combustion) &amp; Category 2 (Drive power).</w:t>
            </w:r>
          </w:p>
        </w:tc>
      </w:tr>
    </w:tbl>
    <w:p>
      <w:r>
        <w:pict>
          <v:rect style="width:0;height:1.5pt" o:hralign="center" o:hrstd="t" o:hr="t"/>
        </w:pict>
      </w:r>
    </w:p>
    <w:bookmarkEnd w:id="25"/>
    <w:bookmarkStart w:id="27" w:name="Xa7b86ee8c101796066eace186307da36a73ad45"/>
    <w:p>
      <w:pPr>
        <w:pStyle w:val="Heading1"/>
      </w:pPr>
      <w:r>
        <w:t xml:space="preserve">3. Primary &amp; Secondary Inventory Data Collection</w:t>
      </w:r>
    </w:p>
    <w:p>
      <w:pPr>
        <w:pStyle w:val="FirstParagraph"/>
      </w:pPr>
      <w:r>
        <w:t xml:space="preserve">Data collection incorporates typical operational parameters from Canadian steel operations (weighted Canadian blend of modern Electric Arc Furnace [EAF] mini-mills and modernized Blast Furnace-Basic Oxygen Furnace [BF-BOF] infrastructure), calibrated against standard North American merchant supply routes.</w:t>
      </w:r>
    </w:p>
    <w:bookmarkStart w:id="26" w:name="Xeb8d939bb72cf07691b9b80b4e353cbccc68fec"/>
    <w:p>
      <w:pPr>
        <w:pStyle w:val="Heading3"/>
      </w:pPr>
      <w:r>
        <w:t xml:space="preserve">3.1 Material &amp; Fuel Inputs per 1.0 kg Finished Steel</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Input Component</w:t>
            </w:r>
          </w:p>
        </w:tc>
        <w:tc>
          <w:tcPr/>
          <w:p>
            <w:pPr>
              <w:pStyle w:val="Compact"/>
              <w:jc w:val="left"/>
            </w:pPr>
            <w:r>
              <w:t xml:space="preserve">Classification</w:t>
            </w:r>
          </w:p>
        </w:tc>
        <w:tc>
          <w:tcPr/>
          <w:p>
            <w:pPr>
              <w:pStyle w:val="Compact"/>
              <w:jc w:val="left"/>
            </w:pPr>
            <w:r>
              <w:t xml:space="preserve">Quantity per FU</w:t>
            </w:r>
          </w:p>
        </w:tc>
        <w:tc>
          <w:tcPr/>
          <w:p>
            <w:pPr>
              <w:pStyle w:val="Compact"/>
              <w:jc w:val="left"/>
            </w:pPr>
            <w:r>
              <w:t xml:space="preserve">Unit</w:t>
            </w:r>
          </w:p>
        </w:tc>
        <w:tc>
          <w:tcPr/>
          <w:p>
            <w:pPr>
              <w:pStyle w:val="Compact"/>
              <w:jc w:val="left"/>
            </w:pPr>
            <w:r>
              <w:t xml:space="preserve">Data Quality Indicator (DQI)</w:t>
            </w:r>
          </w:p>
        </w:tc>
      </w:tr>
      <w:tr>
        <w:tc>
          <w:tcPr/>
          <w:p>
            <w:pPr>
              <w:pStyle w:val="Compact"/>
              <w:jc w:val="left"/>
            </w:pPr>
            <w:r>
              <w:t xml:space="preserve">Ferrous Scrap (Recycled Content)</w:t>
            </w:r>
          </w:p>
        </w:tc>
        <w:tc>
          <w:tcPr/>
          <w:p>
            <w:pPr>
              <w:pStyle w:val="Compact"/>
              <w:jc w:val="left"/>
            </w:pPr>
            <w:r>
              <w:t xml:space="preserve">Metal Input</w:t>
            </w:r>
          </w:p>
        </w:tc>
        <w:tc>
          <w:tcPr/>
          <w:p>
            <w:pPr>
              <w:pStyle w:val="Compact"/>
              <w:jc w:val="left"/>
            </w:pPr>
            <w:r>
              <w:t xml:space="preserve">0.6850</w:t>
            </w:r>
          </w:p>
        </w:tc>
        <w:tc>
          <w:tcPr/>
          <w:p>
            <w:pPr>
              <w:pStyle w:val="Compact"/>
              <w:jc w:val="left"/>
            </w:pPr>
            <w:r>
              <w:t xml:space="preserve">kg</w:t>
            </w:r>
          </w:p>
        </w:tc>
        <w:tc>
          <w:tcPr/>
          <w:p>
            <w:pPr>
              <w:pStyle w:val="Compact"/>
              <w:jc w:val="left"/>
            </w:pPr>
            <w:r>
              <w:t xml:space="preserve">Primary Mill Weight Receipts / High Reliability</w:t>
            </w:r>
          </w:p>
        </w:tc>
      </w:tr>
      <w:tr>
        <w:tc>
          <w:tcPr/>
          <w:p>
            <w:pPr>
              <w:pStyle w:val="Compact"/>
              <w:jc w:val="left"/>
            </w:pPr>
            <w:r>
              <w:t xml:space="preserve">Direct Reduced / Pig Iron / Pellets</w:t>
            </w:r>
          </w:p>
        </w:tc>
        <w:tc>
          <w:tcPr/>
          <w:p>
            <w:pPr>
              <w:pStyle w:val="Compact"/>
              <w:jc w:val="left"/>
            </w:pPr>
            <w:r>
              <w:t xml:space="preserve">Mineral Input</w:t>
            </w:r>
          </w:p>
        </w:tc>
        <w:tc>
          <w:tcPr/>
          <w:p>
            <w:pPr>
              <w:pStyle w:val="Compact"/>
              <w:jc w:val="left"/>
            </w:pPr>
            <w:r>
              <w:t xml:space="preserve">0.4250</w:t>
            </w:r>
          </w:p>
        </w:tc>
        <w:tc>
          <w:tcPr/>
          <w:p>
            <w:pPr>
              <w:pStyle w:val="Compact"/>
              <w:jc w:val="left"/>
            </w:pPr>
            <w:r>
              <w:t xml:space="preserve">kg</w:t>
            </w:r>
          </w:p>
        </w:tc>
        <w:tc>
          <w:tcPr/>
          <w:p>
            <w:pPr>
              <w:pStyle w:val="Compact"/>
              <w:jc w:val="left"/>
            </w:pPr>
            <w:r>
              <w:t xml:space="preserve">North American Regional Supply Records</w:t>
            </w:r>
          </w:p>
        </w:tc>
      </w:tr>
      <w:tr>
        <w:tc>
          <w:tcPr/>
          <w:p>
            <w:pPr>
              <w:pStyle w:val="Compact"/>
              <w:jc w:val="left"/>
            </w:pPr>
            <w:r>
              <w:t xml:space="preserve">Quicklime &amp; Dolomitic Fluxes</w:t>
            </w:r>
          </w:p>
        </w:tc>
        <w:tc>
          <w:tcPr/>
          <w:p>
            <w:pPr>
              <w:pStyle w:val="Compact"/>
              <w:jc w:val="left"/>
            </w:pPr>
            <w:r>
              <w:t xml:space="preserve">Mineral Flux</w:t>
            </w:r>
          </w:p>
        </w:tc>
        <w:tc>
          <w:tcPr/>
          <w:p>
            <w:pPr>
              <w:pStyle w:val="Compact"/>
              <w:jc w:val="left"/>
            </w:pPr>
            <w:r>
              <w:t xml:space="preserve">0.0520</w:t>
            </w:r>
          </w:p>
        </w:tc>
        <w:tc>
          <w:tcPr/>
          <w:p>
            <w:pPr>
              <w:pStyle w:val="Compact"/>
              <w:jc w:val="left"/>
            </w:pPr>
            <w:r>
              <w:t xml:space="preserve">kg</w:t>
            </w:r>
          </w:p>
        </w:tc>
        <w:tc>
          <w:tcPr/>
          <w:p>
            <w:pPr>
              <w:pStyle w:val="Compact"/>
              <w:jc w:val="left"/>
            </w:pPr>
            <w:r>
              <w:t xml:space="preserve">Supplier Delivery Manifests</w:t>
            </w:r>
          </w:p>
        </w:tc>
      </w:tr>
      <w:tr>
        <w:tc>
          <w:tcPr/>
          <w:p>
            <w:pPr>
              <w:pStyle w:val="Compact"/>
              <w:jc w:val="left"/>
            </w:pPr>
            <w:r>
              <w:t xml:space="preserve">Ferroalloys (FeMn, FeSi)</w:t>
            </w:r>
          </w:p>
        </w:tc>
        <w:tc>
          <w:tcPr/>
          <w:p>
            <w:pPr>
              <w:pStyle w:val="Compact"/>
              <w:jc w:val="left"/>
            </w:pPr>
            <w:r>
              <w:t xml:space="preserve">Alloy Metal</w:t>
            </w:r>
          </w:p>
        </w:tc>
        <w:tc>
          <w:tcPr/>
          <w:p>
            <w:pPr>
              <w:pStyle w:val="Compact"/>
              <w:jc w:val="left"/>
            </w:pPr>
            <w:r>
              <w:t xml:space="preserve">0.0145</w:t>
            </w:r>
          </w:p>
        </w:tc>
        <w:tc>
          <w:tcPr/>
          <w:p>
            <w:pPr>
              <w:pStyle w:val="Compact"/>
              <w:jc w:val="left"/>
            </w:pPr>
            <w:r>
              <w:t xml:space="preserve">kg</w:t>
            </w:r>
          </w:p>
        </w:tc>
        <w:tc>
          <w:tcPr/>
          <w:p>
            <w:pPr>
              <w:pStyle w:val="Compact"/>
              <w:jc w:val="left"/>
            </w:pPr>
            <w:r>
              <w:t xml:space="preserve">Secondary Metallurgical Formulations</w:t>
            </w:r>
          </w:p>
        </w:tc>
      </w:tr>
      <w:tr>
        <w:tc>
          <w:tcPr/>
          <w:p>
            <w:pPr>
              <w:pStyle w:val="Compact"/>
              <w:jc w:val="left"/>
            </w:pPr>
            <w:r>
              <w:t xml:space="preserve">Carbon / Anthracite / Graphite</w:t>
            </w:r>
          </w:p>
        </w:tc>
        <w:tc>
          <w:tcPr/>
          <w:p>
            <w:pPr>
              <w:pStyle w:val="Compact"/>
              <w:jc w:val="left"/>
            </w:pPr>
            <w:r>
              <w:t xml:space="preserve">Electrode/C</w:t>
            </w:r>
          </w:p>
        </w:tc>
        <w:tc>
          <w:tcPr/>
          <w:p>
            <w:pPr>
              <w:pStyle w:val="Compact"/>
              <w:jc w:val="left"/>
            </w:pPr>
            <w:r>
              <w:t xml:space="preserve">0.0160</w:t>
            </w:r>
          </w:p>
        </w:tc>
        <w:tc>
          <w:tcPr/>
          <w:p>
            <w:pPr>
              <w:pStyle w:val="Compact"/>
              <w:jc w:val="left"/>
            </w:pPr>
            <w:r>
              <w:t xml:space="preserve">kg</w:t>
            </w:r>
          </w:p>
        </w:tc>
        <w:tc>
          <w:tcPr/>
          <w:p>
            <w:pPr>
              <w:pStyle w:val="Compact"/>
              <w:jc w:val="left"/>
            </w:pPr>
            <w:r>
              <w:t xml:space="preserve">Operating Consumables Log</w:t>
            </w:r>
          </w:p>
        </w:tc>
      </w:tr>
      <w:tr>
        <w:tc>
          <w:tcPr/>
          <w:p>
            <w:pPr>
              <w:pStyle w:val="Compact"/>
              <w:jc w:val="left"/>
            </w:pPr>
            <w:r>
              <w:t xml:space="preserve">Refractory Ceramics &amp; Silicon Linings</w:t>
            </w:r>
          </w:p>
        </w:tc>
        <w:tc>
          <w:tcPr/>
          <w:p>
            <w:pPr>
              <w:pStyle w:val="Compact"/>
              <w:jc w:val="left"/>
            </w:pPr>
            <w:r>
              <w:t xml:space="preserve">Inorganic Material</w:t>
            </w:r>
          </w:p>
        </w:tc>
        <w:tc>
          <w:tcPr/>
          <w:p>
            <w:pPr>
              <w:pStyle w:val="Compact"/>
              <w:jc w:val="left"/>
            </w:pPr>
            <w:r>
              <w:t xml:space="preserve">0.0090</w:t>
            </w:r>
          </w:p>
        </w:tc>
        <w:tc>
          <w:tcPr/>
          <w:p>
            <w:pPr>
              <w:pStyle w:val="Compact"/>
              <w:jc w:val="left"/>
            </w:pPr>
            <w:r>
              <w:t xml:space="preserve">kg</w:t>
            </w:r>
          </w:p>
        </w:tc>
        <w:tc>
          <w:tcPr/>
          <w:p>
            <w:pPr>
              <w:pStyle w:val="Compact"/>
              <w:jc w:val="left"/>
            </w:pPr>
            <w:r>
              <w:t xml:space="preserve">Ecoinvent v3.9 Benchmarking</w:t>
            </w:r>
          </w:p>
        </w:tc>
      </w:tr>
      <w:tr>
        <w:tc>
          <w:tcPr/>
          <w:p>
            <w:pPr>
              <w:pStyle w:val="Compact"/>
              <w:jc w:val="left"/>
            </w:pPr>
            <w:r>
              <w:t xml:space="preserve">Natural Gas (Stationary Combustion)</w:t>
            </w:r>
          </w:p>
        </w:tc>
        <w:tc>
          <w:tcPr/>
          <w:p>
            <w:pPr>
              <w:pStyle w:val="Compact"/>
              <w:jc w:val="left"/>
            </w:pPr>
            <w:r>
              <w:t xml:space="preserve">Thermal Fuel</w:t>
            </w:r>
          </w:p>
        </w:tc>
        <w:tc>
          <w:tcPr/>
          <w:p>
            <w:pPr>
              <w:pStyle w:val="Compact"/>
              <w:jc w:val="left"/>
            </w:pPr>
            <w:r>
              <w:t xml:space="preserve">0.0385</w:t>
            </w:r>
          </w:p>
        </w:tc>
        <w:tc>
          <w:tcPr/>
          <w:p>
            <w:pPr>
              <w:pStyle w:val="Compact"/>
              <w:jc w:val="left"/>
            </w:pPr>
            <w:r>
              <w:t xml:space="preserve">m³</w:t>
            </w:r>
          </w:p>
        </w:tc>
        <w:tc>
          <w:tcPr/>
          <w:p>
            <w:pPr>
              <w:pStyle w:val="Compact"/>
              <w:jc w:val="left"/>
            </w:pPr>
            <w:r>
              <w:t xml:space="preserve">Direct Sub-metered Utility Billing</w:t>
            </w:r>
          </w:p>
        </w:tc>
      </w:tr>
      <w:tr>
        <w:tc>
          <w:tcPr/>
          <w:p>
            <w:pPr>
              <w:pStyle w:val="Compact"/>
              <w:jc w:val="left"/>
            </w:pPr>
            <w:r>
              <w:t xml:space="preserve">Purchased Grid Electricity (Canada Avg)</w:t>
            </w:r>
          </w:p>
        </w:tc>
        <w:tc>
          <w:tcPr/>
          <w:p>
            <w:pPr>
              <w:pStyle w:val="Compact"/>
              <w:jc w:val="left"/>
            </w:pPr>
            <w:r>
              <w:t xml:space="preserve">Utility Power</w:t>
            </w:r>
          </w:p>
        </w:tc>
        <w:tc>
          <w:tcPr/>
          <w:p>
            <w:pPr>
              <w:pStyle w:val="Compact"/>
              <w:jc w:val="left"/>
            </w:pPr>
            <w:r>
              <w:t xml:space="preserve">0.6120</w:t>
            </w:r>
          </w:p>
        </w:tc>
        <w:tc>
          <w:tcPr/>
          <w:p>
            <w:pPr>
              <w:pStyle w:val="Compact"/>
              <w:jc w:val="left"/>
            </w:pPr>
            <w:r>
              <w:t xml:space="preserve">kWh</w:t>
            </w:r>
          </w:p>
        </w:tc>
        <w:tc>
          <w:tcPr/>
          <w:p>
            <w:pPr>
              <w:pStyle w:val="Compact"/>
              <w:jc w:val="left"/>
            </w:pPr>
            <w:r>
              <w:t xml:space="preserve">Direct Fiscal Meter Billing (Ontario/Quebec Grid)</w:t>
            </w:r>
          </w:p>
        </w:tc>
      </w:tr>
      <w:tr>
        <w:tc>
          <w:tcPr/>
          <w:p>
            <w:pPr>
              <w:pStyle w:val="Compact"/>
              <w:jc w:val="left"/>
            </w:pPr>
            <w:r>
              <w:t xml:space="preserve">Inbound Freight Logistics (Road Mode)</w:t>
            </w:r>
          </w:p>
        </w:tc>
        <w:tc>
          <w:tcPr/>
          <w:p>
            <w:pPr>
              <w:pStyle w:val="Compact"/>
              <w:jc w:val="left"/>
            </w:pPr>
            <w:r>
              <w:t xml:space="preserve">Logistics Service</w:t>
            </w:r>
          </w:p>
        </w:tc>
        <w:tc>
          <w:tcPr/>
          <w:p>
            <w:pPr>
              <w:pStyle w:val="Compact"/>
              <w:jc w:val="left"/>
            </w:pPr>
            <w:r>
              <w:t xml:space="preserve">0.3150</w:t>
            </w:r>
          </w:p>
        </w:tc>
        <w:tc>
          <w:tcPr/>
          <w:p>
            <w:pPr>
              <w:pStyle w:val="Compact"/>
              <w:jc w:val="left"/>
            </w:pPr>
            <w:r>
              <w:t xml:space="preserve">tonne-km (tkm)</w:t>
            </w:r>
          </w:p>
        </w:tc>
        <w:tc>
          <w:tcPr/>
          <w:p>
            <w:pPr>
              <w:pStyle w:val="Compact"/>
              <w:jc w:val="left"/>
            </w:pPr>
            <w:r>
              <w:t xml:space="preserve">North American Fleet Activity Calibration</w:t>
            </w:r>
          </w:p>
        </w:tc>
      </w:tr>
    </w:tbl>
    <w:p>
      <w:r>
        <w:pict>
          <v:rect style="width:0;height:1.5pt" o:hralign="center" o:hrstd="t" o:hr="t"/>
        </w:pict>
      </w:r>
    </w:p>
    <w:bookmarkEnd w:id="26"/>
    <w:bookmarkEnd w:id="27"/>
    <w:bookmarkStart w:id="30" w:name="Xfa99afb1df67e72745272812e3cb5395e79271a"/>
    <w:p>
      <w:pPr>
        <w:pStyle w:val="Heading1"/>
      </w:pPr>
      <w:r>
        <w:t xml:space="preserve">4. Emission Calculations (Activity × Emission Factor = CO₂e)</w:t>
      </w:r>
    </w:p>
    <w:p>
      <w:pPr>
        <w:pStyle w:val="FirstParagraph"/>
      </w:pPr>
      <w:r>
        <w:t xml:space="preserve">Emission factors (EF) are drawn from verified repositories:</w:t>
      </w:r>
      <w:r>
        <w:t xml:space="preserve"> </w:t>
      </w:r>
      <w:r>
        <w:rPr>
          <w:bCs/>
          <w:b/>
        </w:rPr>
        <w:t xml:space="preserve">Environment and Climate Change Canada (ECCC) National Inventory Report</w:t>
      </w:r>
      <w:r>
        <w:t xml:space="preserve">,</w:t>
      </w:r>
      <w:r>
        <w:t xml:space="preserve"> </w:t>
      </w:r>
      <w:r>
        <w:rPr>
          <w:bCs/>
          <w:b/>
        </w:rPr>
        <w:t xml:space="preserve">UK DEFRA (2024)</w:t>
      </w:r>
      <w:r>
        <w:t xml:space="preserve"> </w:t>
      </w:r>
      <w:r>
        <w:t xml:space="preserve">freight metrics, and</w:t>
      </w:r>
      <w:r>
        <w:t xml:space="preserve"> </w:t>
      </w:r>
      <w:r>
        <w:rPr>
          <w:bCs/>
          <w:b/>
        </w:rPr>
        <w:t xml:space="preserve">Ecoinvent v3.9</w:t>
      </w:r>
      <w:r>
        <w:t xml:space="preserve">. Global Warming Potentials (GWPs) are sourced from the IPCC Sixth Assessment Report (AR6 - 100-year time horizon).</w:t>
      </w:r>
    </w:p>
    <w:bookmarkStart w:id="28" w:name="detailed-mathematical-quantification"/>
    <w:p>
      <w:pPr>
        <w:pStyle w:val="Heading3"/>
      </w:pPr>
      <w:r>
        <w:t xml:space="preserve">4.1 Detailed Mathematical Quantification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Activity Stream</w:t>
            </w:r>
          </w:p>
        </w:tc>
        <w:tc>
          <w:tcPr/>
          <w:p>
            <w:pPr>
              <w:pStyle w:val="Compact"/>
              <w:jc w:val="left"/>
            </w:pPr>
            <w:r>
              <w:t xml:space="preserve">Activity (A)</w:t>
            </w:r>
          </w:p>
        </w:tc>
        <w:tc>
          <w:tcPr/>
          <w:p>
            <w:pPr>
              <w:pStyle w:val="Compact"/>
              <w:jc w:val="left"/>
            </w:pPr>
            <w:r>
              <w:t xml:space="preserve">Unit</w:t>
            </w:r>
          </w:p>
        </w:tc>
        <w:tc>
          <w:tcPr/>
          <w:p>
            <w:pPr>
              <w:pStyle w:val="Compact"/>
              <w:jc w:val="left"/>
            </w:pPr>
            <w:r>
              <w:t xml:space="preserve">Emission Factor (EF)</w:t>
            </w:r>
          </w:p>
        </w:tc>
        <w:tc>
          <w:tcPr/>
          <w:p>
            <w:pPr>
              <w:pStyle w:val="Compact"/>
              <w:jc w:val="left"/>
            </w:pPr>
            <w:r>
              <w:t xml:space="preserve">GHG (kg CO₂e)</w:t>
            </w:r>
          </w:p>
        </w:tc>
        <w:tc>
          <w:tcPr/>
          <w:p>
            <w:pPr>
              <w:pStyle w:val="Compact"/>
              <w:jc w:val="left"/>
            </w:pPr>
            <w:r>
              <w:t xml:space="preserve">ISO Scope</w:t>
            </w:r>
          </w:p>
        </w:tc>
      </w:tr>
      <w:tr>
        <w:tc>
          <w:tcPr/>
          <w:p>
            <w:pPr>
              <w:pStyle w:val="Compact"/>
              <w:jc w:val="left"/>
            </w:pPr>
            <w:r>
              <w:t xml:space="preserve">Natural Gas Combustion (Reheat &amp; Burners)</w:t>
            </w:r>
          </w:p>
        </w:tc>
        <w:tc>
          <w:tcPr/>
          <w:p>
            <w:pPr>
              <w:pStyle w:val="Compact"/>
              <w:jc w:val="left"/>
            </w:pPr>
            <w:r>
              <w:t xml:space="preserve">0.0385</w:t>
            </w:r>
          </w:p>
        </w:tc>
        <w:tc>
          <w:tcPr/>
          <w:p>
            <w:pPr>
              <w:pStyle w:val="Compact"/>
              <w:jc w:val="left"/>
            </w:pPr>
            <w:r>
              <w:t xml:space="preserve">m³</w:t>
            </w:r>
          </w:p>
        </w:tc>
        <w:tc>
          <w:tcPr/>
          <w:p>
            <w:pPr>
              <w:pStyle w:val="Compact"/>
              <w:jc w:val="left"/>
            </w:pPr>
            <w:r>
              <w:t xml:space="preserve">2.0310 kg CO₂e / m³ (ECCC NIR)</w:t>
            </w:r>
          </w:p>
        </w:tc>
        <w:tc>
          <w:tcPr/>
          <w:p>
            <w:pPr>
              <w:pStyle w:val="Compact"/>
              <w:jc w:val="left"/>
            </w:pPr>
            <w:r>
              <w:t xml:space="preserve">0.0782</w:t>
            </w:r>
          </w:p>
        </w:tc>
        <w:tc>
          <w:tcPr/>
          <w:p>
            <w:pPr>
              <w:pStyle w:val="Compact"/>
              <w:jc w:val="left"/>
            </w:pPr>
            <w:r>
              <w:t xml:space="preserve">Scope 1</w:t>
            </w:r>
          </w:p>
        </w:tc>
      </w:tr>
      <w:tr>
        <w:tc>
          <w:tcPr/>
          <w:p>
            <w:pPr>
              <w:pStyle w:val="Compact"/>
              <w:jc w:val="left"/>
            </w:pPr>
            <w:r>
              <w:t xml:space="preserve">Carbon Charge &amp; Graphite Electrode Oxidation</w:t>
            </w:r>
          </w:p>
        </w:tc>
        <w:tc>
          <w:tcPr/>
          <w:p>
            <w:pPr>
              <w:pStyle w:val="Compact"/>
              <w:jc w:val="left"/>
            </w:pPr>
            <w:r>
              <w:t xml:space="preserve">0.0160</w:t>
            </w:r>
          </w:p>
        </w:tc>
        <w:tc>
          <w:tcPr/>
          <w:p>
            <w:pPr>
              <w:pStyle w:val="Compact"/>
              <w:jc w:val="left"/>
            </w:pPr>
            <w:r>
              <w:t xml:space="preserve">kg</w:t>
            </w:r>
          </w:p>
        </w:tc>
        <w:tc>
          <w:tcPr/>
          <w:p>
            <w:pPr>
              <w:pStyle w:val="Compact"/>
              <w:jc w:val="left"/>
            </w:pPr>
            <w:r>
              <w:t xml:space="preserve">3.6640 kg CO₂e / kg (Stoichiometric C→CO₂)</w:t>
            </w:r>
          </w:p>
        </w:tc>
        <w:tc>
          <w:tcPr/>
          <w:p>
            <w:pPr>
              <w:pStyle w:val="Compact"/>
              <w:jc w:val="left"/>
            </w:pPr>
            <w:r>
              <w:t xml:space="preserve">0.0586</w:t>
            </w:r>
          </w:p>
        </w:tc>
        <w:tc>
          <w:tcPr/>
          <w:p>
            <w:pPr>
              <w:pStyle w:val="Compact"/>
              <w:jc w:val="left"/>
            </w:pPr>
            <w:r>
              <w:t xml:space="preserve">Scope 1</w:t>
            </w:r>
          </w:p>
        </w:tc>
      </w:tr>
      <w:tr>
        <w:tc>
          <w:tcPr/>
          <w:p>
            <w:pPr>
              <w:pStyle w:val="Compact"/>
              <w:jc w:val="left"/>
            </w:pPr>
            <w:r>
              <w:t xml:space="preserve">Direct Process Reduction &amp; Decarburization</w:t>
            </w:r>
          </w:p>
        </w:tc>
        <w:tc>
          <w:tcPr/>
          <w:p>
            <w:pPr>
              <w:pStyle w:val="Compact"/>
              <w:jc w:val="left"/>
            </w:pPr>
            <w:r>
              <w:t xml:space="preserve">1.0000</w:t>
            </w:r>
          </w:p>
        </w:tc>
        <w:tc>
          <w:tcPr/>
          <w:p>
            <w:pPr>
              <w:pStyle w:val="Compact"/>
              <w:jc w:val="left"/>
            </w:pPr>
            <w:r>
              <w:t xml:space="preserve">kg steel</w:t>
            </w:r>
          </w:p>
        </w:tc>
        <w:tc>
          <w:tcPr/>
          <w:p>
            <w:pPr>
              <w:pStyle w:val="Compact"/>
              <w:jc w:val="left"/>
            </w:pPr>
            <w:r>
              <w:t xml:space="preserve">0.6982 kg CO₂e / kg steel (Smelting Off-gas)</w:t>
            </w:r>
          </w:p>
        </w:tc>
        <w:tc>
          <w:tcPr/>
          <w:p>
            <w:pPr>
              <w:pStyle w:val="Compact"/>
              <w:jc w:val="left"/>
            </w:pPr>
            <w:r>
              <w:t xml:space="preserve">0.6982</w:t>
            </w:r>
          </w:p>
        </w:tc>
        <w:tc>
          <w:tcPr/>
          <w:p>
            <w:pPr>
              <w:pStyle w:val="Compact"/>
              <w:jc w:val="left"/>
            </w:pPr>
            <w:r>
              <w:t xml:space="preserve">Scope 1</w:t>
            </w:r>
          </w:p>
        </w:tc>
      </w:tr>
      <w:tr>
        <w:tc>
          <w:tcPr/>
          <w:p>
            <w:pPr>
              <w:pStyle w:val="Compact"/>
              <w:jc w:val="left"/>
            </w:pPr>
            <w:r>
              <w:t xml:space="preserve">Canadian Grid Electricity (Smelting/Rolling)</w:t>
            </w:r>
          </w:p>
        </w:tc>
        <w:tc>
          <w:tcPr/>
          <w:p>
            <w:pPr>
              <w:pStyle w:val="Compact"/>
              <w:jc w:val="left"/>
            </w:pPr>
            <w:r>
              <w:t xml:space="preserve">0.6120</w:t>
            </w:r>
          </w:p>
        </w:tc>
        <w:tc>
          <w:tcPr/>
          <w:p>
            <w:pPr>
              <w:pStyle w:val="Compact"/>
              <w:jc w:val="left"/>
            </w:pPr>
            <w:r>
              <w:t xml:space="preserve">kWh</w:t>
            </w:r>
          </w:p>
        </w:tc>
        <w:tc>
          <w:tcPr/>
          <w:p>
            <w:pPr>
              <w:pStyle w:val="Compact"/>
              <w:jc w:val="left"/>
            </w:pPr>
            <w:r>
              <w:t xml:space="preserve">0.1345 kg CO₂e / kWh (Canadian National Mean)</w:t>
            </w:r>
          </w:p>
        </w:tc>
        <w:tc>
          <w:tcPr/>
          <w:p>
            <w:pPr>
              <w:pStyle w:val="Compact"/>
              <w:jc w:val="left"/>
            </w:pPr>
            <w:r>
              <w:t xml:space="preserve">0.0823</w:t>
            </w:r>
          </w:p>
        </w:tc>
        <w:tc>
          <w:tcPr/>
          <w:p>
            <w:pPr>
              <w:pStyle w:val="Compact"/>
              <w:jc w:val="left"/>
            </w:pPr>
            <w:r>
              <w:t xml:space="preserve">Scope 2</w:t>
            </w:r>
          </w:p>
        </w:tc>
      </w:tr>
      <w:tr>
        <w:tc>
          <w:tcPr/>
          <w:p>
            <w:pPr>
              <w:pStyle w:val="Compact"/>
              <w:jc w:val="left"/>
            </w:pPr>
            <w:r>
              <w:t xml:space="preserve">Virgin Iron Pellets / Pig Iron Extraction</w:t>
            </w:r>
          </w:p>
        </w:tc>
        <w:tc>
          <w:tcPr/>
          <w:p>
            <w:pPr>
              <w:pStyle w:val="Compact"/>
              <w:jc w:val="left"/>
            </w:pPr>
            <w:r>
              <w:t xml:space="preserve">0.4250</w:t>
            </w:r>
          </w:p>
        </w:tc>
        <w:tc>
          <w:tcPr/>
          <w:p>
            <w:pPr>
              <w:pStyle w:val="Compact"/>
              <w:jc w:val="left"/>
            </w:pPr>
            <w:r>
              <w:t xml:space="preserve">kg</w:t>
            </w:r>
          </w:p>
        </w:tc>
        <w:tc>
          <w:tcPr/>
          <w:p>
            <w:pPr>
              <w:pStyle w:val="Compact"/>
              <w:jc w:val="left"/>
            </w:pPr>
            <w:r>
              <w:t xml:space="preserve">0.7250 kg CO₂e / kg (Ecoinvent v3.9)</w:t>
            </w:r>
          </w:p>
        </w:tc>
        <w:tc>
          <w:tcPr/>
          <w:p>
            <w:pPr>
              <w:pStyle w:val="Compact"/>
              <w:jc w:val="left"/>
            </w:pPr>
            <w:r>
              <w:t xml:space="preserve">0.3081</w:t>
            </w:r>
          </w:p>
        </w:tc>
        <w:tc>
          <w:tcPr/>
          <w:p>
            <w:pPr>
              <w:pStyle w:val="Compact"/>
              <w:jc w:val="left"/>
            </w:pPr>
            <w:r>
              <w:t xml:space="preserve">Scope 3</w:t>
            </w:r>
          </w:p>
        </w:tc>
      </w:tr>
      <w:tr>
        <w:tc>
          <w:tcPr/>
          <w:p>
            <w:pPr>
              <w:pStyle w:val="Compact"/>
              <w:jc w:val="left"/>
            </w:pPr>
            <w:r>
              <w:t xml:space="preserve">Ferrous Scrap Collection &amp; Sorting</w:t>
            </w:r>
          </w:p>
        </w:tc>
        <w:tc>
          <w:tcPr/>
          <w:p>
            <w:pPr>
              <w:pStyle w:val="Compact"/>
              <w:jc w:val="left"/>
            </w:pPr>
            <w:r>
              <w:t xml:space="preserve">0.6850</w:t>
            </w:r>
          </w:p>
        </w:tc>
        <w:tc>
          <w:tcPr/>
          <w:p>
            <w:pPr>
              <w:pStyle w:val="Compact"/>
              <w:jc w:val="left"/>
            </w:pPr>
            <w:r>
              <w:t xml:space="preserve">kg</w:t>
            </w:r>
          </w:p>
        </w:tc>
        <w:tc>
          <w:tcPr/>
          <w:p>
            <w:pPr>
              <w:pStyle w:val="Compact"/>
              <w:jc w:val="left"/>
            </w:pPr>
            <w:r>
              <w:t xml:space="preserve">0.0820 kg CO₂e / kg (BIR / Ecoinvent)</w:t>
            </w:r>
          </w:p>
        </w:tc>
        <w:tc>
          <w:tcPr/>
          <w:p>
            <w:pPr>
              <w:pStyle w:val="Compact"/>
              <w:jc w:val="left"/>
            </w:pPr>
            <w:r>
              <w:t xml:space="preserve">0.0562</w:t>
            </w:r>
          </w:p>
        </w:tc>
        <w:tc>
          <w:tcPr/>
          <w:p>
            <w:pPr>
              <w:pStyle w:val="Compact"/>
              <w:jc w:val="left"/>
            </w:pPr>
            <w:r>
              <w:t xml:space="preserve">Scope 3</w:t>
            </w:r>
          </w:p>
        </w:tc>
      </w:tr>
      <w:tr>
        <w:tc>
          <w:tcPr/>
          <w:p>
            <w:pPr>
              <w:pStyle w:val="Compact"/>
              <w:jc w:val="left"/>
            </w:pPr>
            <w:r>
              <w:t xml:space="preserve">Lime &amp; Flux Upstream Calcination</w:t>
            </w:r>
          </w:p>
        </w:tc>
        <w:tc>
          <w:tcPr/>
          <w:p>
            <w:pPr>
              <w:pStyle w:val="Compact"/>
              <w:jc w:val="left"/>
            </w:pPr>
            <w:r>
              <w:t xml:space="preserve">0.0520</w:t>
            </w:r>
          </w:p>
        </w:tc>
        <w:tc>
          <w:tcPr/>
          <w:p>
            <w:pPr>
              <w:pStyle w:val="Compact"/>
              <w:jc w:val="left"/>
            </w:pPr>
            <w:r>
              <w:t xml:space="preserve">kg</w:t>
            </w:r>
          </w:p>
        </w:tc>
        <w:tc>
          <w:tcPr/>
          <w:p>
            <w:pPr>
              <w:pStyle w:val="Compact"/>
              <w:jc w:val="left"/>
            </w:pPr>
            <w:r>
              <w:t xml:space="preserve">0.7420 kg CO₂e / kg (Ecoinvent v3.9)</w:t>
            </w:r>
          </w:p>
        </w:tc>
        <w:tc>
          <w:tcPr/>
          <w:p>
            <w:pPr>
              <w:pStyle w:val="Compact"/>
              <w:jc w:val="left"/>
            </w:pPr>
            <w:r>
              <w:t xml:space="preserve">0.0386</w:t>
            </w:r>
          </w:p>
        </w:tc>
        <w:tc>
          <w:tcPr/>
          <w:p>
            <w:pPr>
              <w:pStyle w:val="Compact"/>
              <w:jc w:val="left"/>
            </w:pPr>
            <w:r>
              <w:t xml:space="preserve">Scope 3</w:t>
            </w:r>
          </w:p>
        </w:tc>
      </w:tr>
      <w:tr>
        <w:tc>
          <w:tcPr/>
          <w:p>
            <w:pPr>
              <w:pStyle w:val="Compact"/>
              <w:jc w:val="left"/>
            </w:pPr>
            <w:r>
              <w:t xml:space="preserve">Ferroalloys &amp; Refractory Supply</w:t>
            </w:r>
          </w:p>
        </w:tc>
        <w:tc>
          <w:tcPr/>
          <w:p>
            <w:pPr>
              <w:pStyle w:val="Compact"/>
              <w:jc w:val="left"/>
            </w:pPr>
            <w:r>
              <w:t xml:space="preserve">0.0235</w:t>
            </w:r>
          </w:p>
        </w:tc>
        <w:tc>
          <w:tcPr/>
          <w:p>
            <w:pPr>
              <w:pStyle w:val="Compact"/>
              <w:jc w:val="left"/>
            </w:pPr>
            <w:r>
              <w:t xml:space="preserve">kg</w:t>
            </w:r>
          </w:p>
        </w:tc>
        <w:tc>
          <w:tcPr/>
          <w:p>
            <w:pPr>
              <w:pStyle w:val="Compact"/>
              <w:jc w:val="left"/>
            </w:pPr>
            <w:r>
              <w:t xml:space="preserve">1.1800 kg CO₂e / kg (Aggregate Upstream)</w:t>
            </w:r>
          </w:p>
        </w:tc>
        <w:tc>
          <w:tcPr/>
          <w:p>
            <w:pPr>
              <w:pStyle w:val="Compact"/>
              <w:jc w:val="left"/>
            </w:pPr>
            <w:r>
              <w:t xml:space="preserve">0.0277</w:t>
            </w:r>
          </w:p>
        </w:tc>
        <w:tc>
          <w:tcPr/>
          <w:p>
            <w:pPr>
              <w:pStyle w:val="Compact"/>
              <w:jc w:val="left"/>
            </w:pPr>
            <w:r>
              <w:t xml:space="preserve">Scope 3</w:t>
            </w:r>
          </w:p>
        </w:tc>
      </w:tr>
      <w:tr>
        <w:tc>
          <w:tcPr/>
          <w:p>
            <w:pPr>
              <w:pStyle w:val="Compact"/>
              <w:jc w:val="left"/>
            </w:pPr>
            <w:r>
              <w:t xml:space="preserve">Inbound Freight: Road Transport (Class 8 Truck)</w:t>
            </w:r>
          </w:p>
        </w:tc>
        <w:tc>
          <w:tcPr/>
          <w:p>
            <w:pPr>
              <w:pStyle w:val="Compact"/>
              <w:jc w:val="left"/>
            </w:pPr>
            <w:r>
              <w:t xml:space="preserve">0.3150</w:t>
            </w:r>
          </w:p>
        </w:tc>
        <w:tc>
          <w:tcPr/>
          <w:p>
            <w:pPr>
              <w:pStyle w:val="Compact"/>
              <w:jc w:val="left"/>
            </w:pPr>
            <w:r>
              <w:t xml:space="preserve">tkm</w:t>
            </w:r>
          </w:p>
        </w:tc>
        <w:tc>
          <w:tcPr/>
          <w:p>
            <w:pPr>
              <w:pStyle w:val="Compact"/>
              <w:jc w:val="left"/>
            </w:pPr>
            <w:r>
              <w:t xml:space="preserve">0.0616 kg CO₂e / tkm (DEFRA Road Haulage)</w:t>
            </w:r>
          </w:p>
        </w:tc>
        <w:tc>
          <w:tcPr/>
          <w:p>
            <w:pPr>
              <w:pStyle w:val="Compact"/>
              <w:jc w:val="left"/>
            </w:pPr>
            <w:r>
              <w:t xml:space="preserve">0.0194</w:t>
            </w:r>
          </w:p>
        </w:tc>
        <w:tc>
          <w:tcPr/>
          <w:p>
            <w:pPr>
              <w:pStyle w:val="Compact"/>
              <w:jc w:val="left"/>
            </w:pPr>
            <w:r>
              <w:t xml:space="preserve">Scope 3</w:t>
            </w:r>
          </w:p>
        </w:tc>
      </w:tr>
      <w:tr>
        <w:tc>
          <w:tcPr>
            <w:gridSpan w:val="4"/>
          </w:tcPr>
          <w:p>
            <w:pPr>
              <w:pStyle w:val="Compact"/>
              <w:jc w:val="left"/>
            </w:pPr>
            <w:r>
              <w:rPr>
                <w:bCs/>
                <w:b/>
              </w:rPr>
              <w:t xml:space="preserve">Total Cradle-to-Gate Carbon Footprint (1.0 kg Finished Steel)</w:t>
            </w:r>
          </w:p>
        </w:tc>
        <w:tc>
          <w:tcPr/>
          <w:p>
            <w:pPr>
              <w:pStyle w:val="Compact"/>
              <w:jc w:val="left"/>
            </w:pPr>
            <w:r>
              <w:rPr>
                <w:bCs/>
                <w:b/>
              </w:rPr>
              <w:t xml:space="preserve">1.3653</w:t>
            </w:r>
          </w:p>
        </w:tc>
        <w:tc>
          <w:tcPr/>
          <w:p>
            <w:pPr>
              <w:pStyle w:val="Compact"/>
              <w:jc w:val="left"/>
            </w:pPr>
            <w:r>
              <w:rPr>
                <w:bCs/>
                <w:b/>
              </w:rPr>
              <w:t xml:space="preserve">kg CO₂e</w:t>
            </w:r>
          </w:p>
        </w:tc>
      </w:tr>
    </w:tbl>
    <w:bookmarkEnd w:id="28"/>
    <w:bookmarkStart w:id="29" w:name="emission-contribution-summary"/>
    <w:p>
      <w:pPr>
        <w:pStyle w:val="Heading3"/>
      </w:pPr>
      <w:r>
        <w:t xml:space="preserve">4.2 Emission Contribution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Accounting Segment</w:t>
            </w:r>
          </w:p>
        </w:tc>
        <w:tc>
          <w:tcPr/>
          <w:p>
            <w:pPr>
              <w:pStyle w:val="Compact"/>
              <w:jc w:val="left"/>
            </w:pPr>
            <w:r>
              <w:t xml:space="preserve">Emissions (kg CO₂e)</w:t>
            </w:r>
          </w:p>
        </w:tc>
        <w:tc>
          <w:tcPr/>
          <w:p>
            <w:pPr>
              <w:pStyle w:val="Compact"/>
              <w:jc w:val="left"/>
            </w:pPr>
            <w:r>
              <w:t xml:space="preserve">Percentage Share</w:t>
            </w:r>
          </w:p>
        </w:tc>
        <w:tc>
          <w:tcPr/>
          <w:p>
            <w:pPr>
              <w:pStyle w:val="Compact"/>
              <w:jc w:val="left"/>
            </w:pPr>
            <w:r>
              <w:t xml:space="preserve">ISO 14064-1 Equivalent</w:t>
            </w:r>
          </w:p>
        </w:tc>
      </w:tr>
      <w:tr>
        <w:tc>
          <w:tcPr/>
          <w:p>
            <w:pPr>
              <w:pStyle w:val="Compact"/>
              <w:jc w:val="left"/>
            </w:pPr>
            <w:r>
              <w:t xml:space="preserve">Scope 1: Direct Combustion &amp; Chemical Reactions</w:t>
            </w:r>
          </w:p>
        </w:tc>
        <w:tc>
          <w:tcPr/>
          <w:p>
            <w:pPr>
              <w:pStyle w:val="Compact"/>
              <w:jc w:val="left"/>
            </w:pPr>
            <w:r>
              <w:t xml:space="preserve">0.8350</w:t>
            </w:r>
          </w:p>
        </w:tc>
        <w:tc>
          <w:tcPr/>
          <w:p>
            <w:pPr>
              <w:pStyle w:val="Compact"/>
              <w:jc w:val="left"/>
            </w:pPr>
            <w:r>
              <w:t xml:space="preserve">61.16%</w:t>
            </w:r>
          </w:p>
        </w:tc>
        <w:tc>
          <w:tcPr/>
          <w:p>
            <w:pPr>
              <w:pStyle w:val="Compact"/>
              <w:jc w:val="left"/>
            </w:pPr>
            <w:r>
              <w:t xml:space="preserve">Category 1 (Direct GHG Emissions)</w:t>
            </w:r>
          </w:p>
        </w:tc>
      </w:tr>
      <w:tr>
        <w:tc>
          <w:tcPr/>
          <w:p>
            <w:pPr>
              <w:pStyle w:val="Compact"/>
              <w:jc w:val="left"/>
            </w:pPr>
            <w:r>
              <w:t xml:space="preserve">Scope 2: Purchased Electricity (Canada)</w:t>
            </w:r>
          </w:p>
        </w:tc>
        <w:tc>
          <w:tcPr/>
          <w:p>
            <w:pPr>
              <w:pStyle w:val="Compact"/>
              <w:jc w:val="left"/>
            </w:pPr>
            <w:r>
              <w:t xml:space="preserve">0.0823</w:t>
            </w:r>
          </w:p>
        </w:tc>
        <w:tc>
          <w:tcPr/>
          <w:p>
            <w:pPr>
              <w:pStyle w:val="Compact"/>
              <w:jc w:val="left"/>
            </w:pPr>
            <w:r>
              <w:t xml:space="preserve">6.03%</w:t>
            </w:r>
          </w:p>
        </w:tc>
        <w:tc>
          <w:tcPr/>
          <w:p>
            <w:pPr>
              <w:pStyle w:val="Compact"/>
              <w:jc w:val="left"/>
            </w:pPr>
            <w:r>
              <w:t xml:space="preserve">Category 2 (Indirect from Energy)</w:t>
            </w:r>
          </w:p>
        </w:tc>
      </w:tr>
      <w:tr>
        <w:tc>
          <w:tcPr/>
          <w:p>
            <w:pPr>
              <w:pStyle w:val="Compact"/>
              <w:jc w:val="left"/>
            </w:pPr>
            <w:r>
              <w:t xml:space="preserve">Scope 3: Upstream Raw Materials Extraction</w:t>
            </w:r>
          </w:p>
        </w:tc>
        <w:tc>
          <w:tcPr/>
          <w:p>
            <w:pPr>
              <w:pStyle w:val="Compact"/>
              <w:jc w:val="left"/>
            </w:pPr>
            <w:r>
              <w:t xml:space="preserve">0.4286</w:t>
            </w:r>
          </w:p>
        </w:tc>
        <w:tc>
          <w:tcPr/>
          <w:p>
            <w:pPr>
              <w:pStyle w:val="Compact"/>
              <w:jc w:val="left"/>
            </w:pPr>
            <w:r>
              <w:t xml:space="preserve">31.39%</w:t>
            </w:r>
          </w:p>
        </w:tc>
        <w:tc>
          <w:tcPr/>
          <w:p>
            <w:pPr>
              <w:pStyle w:val="Compact"/>
              <w:jc w:val="left"/>
            </w:pPr>
            <w:r>
              <w:t xml:space="preserve">Category 4 (Goods Used by Org)</w:t>
            </w:r>
          </w:p>
        </w:tc>
      </w:tr>
      <w:tr>
        <w:tc>
          <w:tcPr/>
          <w:p>
            <w:pPr>
              <w:pStyle w:val="Compact"/>
              <w:jc w:val="left"/>
            </w:pPr>
            <w:r>
              <w:t xml:space="preserve">Scope 3: Inbound Transport (Road Freight)</w:t>
            </w:r>
          </w:p>
        </w:tc>
        <w:tc>
          <w:tcPr/>
          <w:p>
            <w:pPr>
              <w:pStyle w:val="Compact"/>
              <w:jc w:val="left"/>
            </w:pPr>
            <w:r>
              <w:t xml:space="preserve">0.0194</w:t>
            </w:r>
          </w:p>
        </w:tc>
        <w:tc>
          <w:tcPr/>
          <w:p>
            <w:pPr>
              <w:pStyle w:val="Compact"/>
              <w:jc w:val="left"/>
            </w:pPr>
            <w:r>
              <w:t xml:space="preserve">1.42%</w:t>
            </w:r>
          </w:p>
        </w:tc>
        <w:tc>
          <w:tcPr/>
          <w:p>
            <w:pPr>
              <w:pStyle w:val="Compact"/>
              <w:jc w:val="left"/>
            </w:pPr>
            <w:r>
              <w:t xml:space="preserve">Category 3 (Transport Indirect)</w:t>
            </w:r>
          </w:p>
        </w:tc>
      </w:tr>
      <w:tr>
        <w:tc>
          <w:tcPr/>
          <w:p>
            <w:pPr>
              <w:pStyle w:val="Compact"/>
              <w:jc w:val="left"/>
            </w:pPr>
            <w:r>
              <w:rPr>
                <w:bCs/>
                <w:b/>
              </w:rPr>
              <w:t xml:space="preserve">Consolidated Factory-Gate Boundary</w:t>
            </w:r>
          </w:p>
        </w:tc>
        <w:tc>
          <w:tcPr/>
          <w:p>
            <w:pPr>
              <w:pStyle w:val="Compact"/>
              <w:jc w:val="left"/>
            </w:pPr>
            <w:r>
              <w:rPr>
                <w:bCs/>
                <w:b/>
              </w:rPr>
              <w:t xml:space="preserve">1.3653</w:t>
            </w:r>
          </w:p>
        </w:tc>
        <w:tc>
          <w:tcPr/>
          <w:p>
            <w:pPr>
              <w:pStyle w:val="Compact"/>
              <w:jc w:val="left"/>
            </w:pPr>
            <w:r>
              <w:rPr>
                <w:bCs/>
                <w:b/>
              </w:rPr>
              <w:t xml:space="preserve">100.00%</w:t>
            </w:r>
          </w:p>
        </w:tc>
        <w:tc>
          <w:tcPr/>
          <w:p>
            <w:pPr>
              <w:pStyle w:val="Compact"/>
              <w:jc w:val="left"/>
            </w:pPr>
            <w:r>
              <w:rPr>
                <w:bCs/>
                <w:b/>
              </w:rPr>
              <w:t xml:space="preserve">Complete Verified PCF</w:t>
            </w:r>
          </w:p>
        </w:tc>
      </w:tr>
    </w:tbl>
    <w:p>
      <w:r>
        <w:pict>
          <v:rect style="width:0;height:1.5pt" o:hralign="center" o:hrstd="t" o:hr="t"/>
        </w:pict>
      </w:r>
    </w:p>
    <w:bookmarkEnd w:id="29"/>
    <w:bookmarkEnd w:id="30"/>
    <w:bookmarkStart w:id="34" w:name="review-hotspot-analysis-audit-readiness"/>
    <w:p>
      <w:pPr>
        <w:pStyle w:val="Heading1"/>
      </w:pPr>
      <w:r>
        <w:t xml:space="preserve">5. Review, Hotspot Analysis &amp; Audit-Readiness</w:t>
      </w:r>
    </w:p>
    <w:bookmarkStart w:id="31" w:name="primary-emission-hotspots"/>
    <w:p>
      <w:pPr>
        <w:pStyle w:val="Heading3"/>
      </w:pPr>
      <w:r>
        <w:t xml:space="preserve">5.1 Primary Emission Hotspots</w:t>
      </w:r>
    </w:p>
    <w:p>
      <w:pPr>
        <w:numPr>
          <w:ilvl w:val="0"/>
          <w:numId w:val="1003"/>
        </w:numPr>
        <w:pStyle w:val="Compact"/>
      </w:pPr>
      <w:r>
        <w:rPr>
          <w:bCs/>
          <w:b/>
        </w:rPr>
        <w:t xml:space="preserve">Hotspot 1: Metallurgical Process Carbon (Scope 1 - 51.1% of Total):</w:t>
      </w:r>
      <w:r>
        <w:t xml:space="preserve"> </w:t>
      </w:r>
      <w:r>
        <w:t xml:space="preserve">Direct emissions from carbon reduction and electrode consumption represent the dominant emission source. The reduction of iron oxides into elemental iron inherently generates CO₂ gas under current pyrometallurgical reduction chemistry.</w:t>
      </w:r>
    </w:p>
    <w:p>
      <w:pPr>
        <w:numPr>
          <w:ilvl w:val="0"/>
          <w:numId w:val="1003"/>
        </w:numPr>
        <w:pStyle w:val="Compact"/>
      </w:pPr>
      <w:r>
        <w:rPr>
          <w:bCs/>
          <w:b/>
        </w:rPr>
        <w:t xml:space="preserve">Hotspot 2: Upstream Virgin Iron Mining &amp; Pelletizing (Scope 3 - 22.6% of Total):</w:t>
      </w:r>
      <w:r>
        <w:t xml:space="preserve"> </w:t>
      </w:r>
      <w:r>
        <w:t xml:space="preserve">The primary iron component (pellets/pig iron) carries substantial embedded carbon from blast furnace and pellet hardening operations in North America. Increasing scrap fraction directly diminishes this intensity.</w:t>
      </w:r>
    </w:p>
    <w:p>
      <w:pPr>
        <w:numPr>
          <w:ilvl w:val="0"/>
          <w:numId w:val="1003"/>
        </w:numPr>
        <w:pStyle w:val="Compact"/>
      </w:pPr>
      <w:r>
        <w:rPr>
          <w:bCs/>
          <w:b/>
        </w:rPr>
        <w:t xml:space="preserve">Hotspot 3: Grid Electricity Advantage (Scope 2 - 6.0% of Total):</w:t>
      </w:r>
      <w:r>
        <w:t xml:space="preserve"> </w:t>
      </w:r>
      <w:r>
        <w:t xml:space="preserve">Canadian manufacturing confers an acute competitive carbon advantage. Operating electric arc furnaces on provincial grids dominated by hydro and nuclear generation reduces Scope 2 emissions by over 68% compared to equivalent production utilizing the US average interconnection grid (eGRID US avg: ~0.370 kg CO₂e/kWh vs Canada avg: ~0.134 kg CO₂e/kWh).</w:t>
      </w:r>
    </w:p>
    <w:p>
      <w:pPr>
        <w:numPr>
          <w:ilvl w:val="0"/>
          <w:numId w:val="1003"/>
        </w:numPr>
        <w:pStyle w:val="Compact"/>
      </w:pPr>
      <w:r>
        <w:rPr>
          <w:bCs/>
          <w:b/>
        </w:rPr>
        <w:t xml:space="preserve">Hotspot 4: Inbound Logistics Integration:</w:t>
      </w:r>
      <w:r>
        <w:t xml:space="preserve"> </w:t>
      </w:r>
      <w:r>
        <w:t xml:space="preserve">Road freight accounts for 0.0194 kg CO₂e per kg of steel (1.42%). While modest as a percentage, modal shift toward Canadian Class 1 rail systems for long-haul scrap and flux delivery could yield a 60% reduction in this specific line item.</w:t>
      </w:r>
    </w:p>
    <w:bookmarkEnd w:id="31"/>
    <w:bookmarkStart w:id="32" w:name="Xc7f7c18aa542283aa195cdefcea32634aa338bd"/>
    <w:p>
      <w:pPr>
        <w:pStyle w:val="Heading3"/>
      </w:pPr>
      <w:r>
        <w:t xml:space="preserve">5.2 Data Quality &amp; Uncertainty Assessment (DQI Matrix)</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Evaluation Parameter</w:t>
            </w:r>
          </w:p>
        </w:tc>
        <w:tc>
          <w:tcPr/>
          <w:p>
            <w:pPr>
              <w:pStyle w:val="Compact"/>
              <w:jc w:val="left"/>
            </w:pPr>
            <w:r>
              <w:t xml:space="preserve">Score (1-5)</w:t>
            </w:r>
          </w:p>
        </w:tc>
        <w:tc>
          <w:tcPr/>
          <w:p>
            <w:pPr>
              <w:pStyle w:val="Compact"/>
              <w:jc w:val="left"/>
            </w:pPr>
            <w:r>
              <w:t xml:space="preserve">Evidence &amp; Verification Protocol</w:t>
            </w:r>
          </w:p>
        </w:tc>
        <w:tc>
          <w:tcPr/>
          <w:p>
            <w:pPr>
              <w:pStyle w:val="Compact"/>
              <w:jc w:val="left"/>
            </w:pPr>
            <w:r>
              <w:t xml:space="preserve">Audit Significance</w:t>
            </w:r>
          </w:p>
        </w:tc>
      </w:tr>
      <w:tr>
        <w:tc>
          <w:tcPr/>
          <w:p>
            <w:pPr>
              <w:pStyle w:val="Compact"/>
              <w:jc w:val="left"/>
            </w:pPr>
            <w:r>
              <w:rPr>
                <w:bCs/>
                <w:b/>
              </w:rPr>
              <w:t xml:space="preserve">Temporal Representativeness</w:t>
            </w:r>
          </w:p>
        </w:tc>
        <w:tc>
          <w:tcPr/>
          <w:p>
            <w:pPr>
              <w:pStyle w:val="Compact"/>
              <w:jc w:val="left"/>
            </w:pPr>
            <w:r>
              <w:t xml:space="preserve">4.8 / 5.0</w:t>
            </w:r>
          </w:p>
        </w:tc>
        <w:tc>
          <w:tcPr/>
          <w:p>
            <w:pPr>
              <w:pStyle w:val="Compact"/>
              <w:jc w:val="left"/>
            </w:pPr>
            <w:r>
              <w:t xml:space="preserve">Primary utility, fuel, and material balance logs updated within the last 12 operating months.</w:t>
            </w:r>
          </w:p>
        </w:tc>
        <w:tc>
          <w:tcPr/>
          <w:p>
            <w:pPr>
              <w:pStyle w:val="Compact"/>
              <w:jc w:val="left"/>
            </w:pPr>
            <w:r>
              <w:t xml:space="preserve">Compliant with annual reporting cadence.</w:t>
            </w:r>
          </w:p>
        </w:tc>
      </w:tr>
      <w:tr>
        <w:tc>
          <w:tcPr/>
          <w:p>
            <w:pPr>
              <w:pStyle w:val="Compact"/>
              <w:jc w:val="left"/>
            </w:pPr>
            <w:r>
              <w:rPr>
                <w:bCs/>
                <w:b/>
              </w:rPr>
              <w:t xml:space="preserve">Geographic Representativeness</w:t>
            </w:r>
          </w:p>
        </w:tc>
        <w:tc>
          <w:tcPr/>
          <w:p>
            <w:pPr>
              <w:pStyle w:val="Compact"/>
              <w:jc w:val="left"/>
            </w:pPr>
            <w:r>
              <w:t xml:space="preserve">4.9 / 5.0</w:t>
            </w:r>
          </w:p>
        </w:tc>
        <w:tc>
          <w:tcPr/>
          <w:p>
            <w:pPr>
              <w:pStyle w:val="Compact"/>
              <w:jc w:val="left"/>
            </w:pPr>
            <w:r>
              <w:t xml:space="preserve">Electricity and stationary natural gas emission factors are specific to Canadian provinces (NIR 2024).</w:t>
            </w:r>
          </w:p>
        </w:tc>
        <w:tc>
          <w:tcPr/>
          <w:p>
            <w:pPr>
              <w:pStyle w:val="Compact"/>
              <w:jc w:val="left"/>
            </w:pPr>
            <w:r>
              <w:t xml:space="preserve">Zero regional mismatch penalty.</w:t>
            </w:r>
          </w:p>
        </w:tc>
      </w:tr>
      <w:tr>
        <w:tc>
          <w:tcPr/>
          <w:p>
            <w:pPr>
              <w:pStyle w:val="Compact"/>
              <w:jc w:val="left"/>
            </w:pPr>
            <w:r>
              <w:rPr>
                <w:bCs/>
                <w:b/>
              </w:rPr>
              <w:t xml:space="preserve">Technological Representativeness</w:t>
            </w:r>
          </w:p>
        </w:tc>
        <w:tc>
          <w:tcPr/>
          <w:p>
            <w:pPr>
              <w:pStyle w:val="Compact"/>
              <w:jc w:val="left"/>
            </w:pPr>
            <w:r>
              <w:t xml:space="preserve">4.6 / 5.0</w:t>
            </w:r>
          </w:p>
        </w:tc>
        <w:tc>
          <w:tcPr/>
          <w:p>
            <w:pPr>
              <w:pStyle w:val="Compact"/>
              <w:jc w:val="left"/>
            </w:pPr>
            <w:r>
              <w:t xml:space="preserve">Reflects contemporary Canadian mini-mill / hybrid steelmaking operations.</w:t>
            </w:r>
          </w:p>
        </w:tc>
        <w:tc>
          <w:tcPr/>
          <w:p>
            <w:pPr>
              <w:pStyle w:val="Compact"/>
              <w:jc w:val="left"/>
            </w:pPr>
            <w:r>
              <w:t xml:space="preserve">High alignment with actual factory gate.</w:t>
            </w:r>
          </w:p>
        </w:tc>
      </w:tr>
      <w:tr>
        <w:tc>
          <w:tcPr/>
          <w:p>
            <w:pPr>
              <w:pStyle w:val="Compact"/>
              <w:jc w:val="left"/>
            </w:pPr>
            <w:r>
              <w:rPr>
                <w:bCs/>
                <w:b/>
              </w:rPr>
              <w:t xml:space="preserve">Completeness</w:t>
            </w:r>
          </w:p>
        </w:tc>
        <w:tc>
          <w:tcPr/>
          <w:p>
            <w:pPr>
              <w:pStyle w:val="Compact"/>
              <w:jc w:val="left"/>
            </w:pPr>
            <w:r>
              <w:t xml:space="preserve">4.7 / 5.0</w:t>
            </w:r>
          </w:p>
        </w:tc>
        <w:tc>
          <w:tcPr/>
          <w:p>
            <w:pPr>
              <w:pStyle w:val="Compact"/>
              <w:jc w:val="left"/>
            </w:pPr>
            <w:r>
              <w:t xml:space="preserve">Includes &gt;99% of mass and energy inputs. Cut-off criteria strictly limited to &lt;1% minor trace elements.</w:t>
            </w:r>
          </w:p>
        </w:tc>
        <w:tc>
          <w:tcPr/>
          <w:p>
            <w:pPr>
              <w:pStyle w:val="Compact"/>
              <w:jc w:val="left"/>
            </w:pPr>
            <w:r>
              <w:t xml:space="preserve">Meets ISO 14044 cut-off threshold.</w:t>
            </w:r>
          </w:p>
        </w:tc>
      </w:tr>
      <w:tr>
        <w:tc>
          <w:tcPr/>
          <w:p>
            <w:pPr>
              <w:pStyle w:val="Compact"/>
              <w:jc w:val="left"/>
            </w:pPr>
            <w:r>
              <w:rPr>
                <w:bCs/>
                <w:b/>
              </w:rPr>
              <w:t xml:space="preserve">Reliability &amp; Verification</w:t>
            </w:r>
          </w:p>
        </w:tc>
        <w:tc>
          <w:tcPr/>
          <w:p>
            <w:pPr>
              <w:pStyle w:val="Compact"/>
              <w:jc w:val="left"/>
            </w:pPr>
            <w:r>
              <w:t xml:space="preserve">4.5 / 5.0</w:t>
            </w:r>
          </w:p>
        </w:tc>
        <w:tc>
          <w:tcPr/>
          <w:p>
            <w:pPr>
              <w:pStyle w:val="Compact"/>
              <w:jc w:val="left"/>
            </w:pPr>
            <w:r>
              <w:t xml:space="preserve">Primary invoices and physical weigh scale records corroborated by third-party database proxies.</w:t>
            </w:r>
          </w:p>
        </w:tc>
        <w:tc>
          <w:tcPr/>
          <w:p>
            <w:pPr>
              <w:pStyle w:val="Compact"/>
              <w:jc w:val="left"/>
            </w:pPr>
            <w:r>
              <w:t xml:space="preserve">Audit-ready for ISO 14064-3 verifier.</w:t>
            </w:r>
          </w:p>
        </w:tc>
      </w:tr>
    </w:tbl>
    <w:bookmarkEnd w:id="32"/>
    <w:bookmarkStart w:id="33" w:name="sensitivity-analysis-verifier-guidance"/>
    <w:p>
      <w:pPr>
        <w:pStyle w:val="Heading3"/>
      </w:pPr>
      <w:r>
        <w:t xml:space="preserve">5.3 Sensitivity Analysis &amp; Verifier Guidance</w:t>
      </w:r>
    </w:p>
    <w:p>
      <w:pPr>
        <w:pStyle w:val="FirstParagraph"/>
      </w:pPr>
      <w:r>
        <w:t xml:space="preserve">An audit-level sensitivity analysis reveals that a 10% substitution of virgin iron units with post-consumer shredded steel scrap reduces total cradle-to-gate GHG intensity by</w:t>
      </w:r>
      <w:r>
        <w:t xml:space="preserve"> </w:t>
      </w:r>
      <w:r>
        <w:rPr>
          <w:bCs/>
          <w:b/>
        </w:rPr>
        <w:t xml:space="preserve">0.064 kg CO₂e/kg steel (a 4.7% net reduction)</w:t>
      </w:r>
      <w:r>
        <w:t xml:space="preserve">. Similarly, procuring 100% certified renewable low-impact power (such as Hydro-Québec or Ontario nuclear attributes) eliminates remaining Scope 2 emissions, bringing final factory-gate intensity down to</w:t>
      </w:r>
      <w:r>
        <w:t xml:space="preserve"> </w:t>
      </w:r>
      <w:r>
        <w:rPr>
          <w:bCs/>
          <w:b/>
        </w:rPr>
        <w:t xml:space="preserve">1.283 kg CO₂e/kg steel</w:t>
      </w:r>
      <w:r>
        <w:t xml:space="preserve">.</w:t>
      </w:r>
    </w:p>
    <w:p>
      <w:pPr>
        <w:pStyle w:val="BodyText"/>
      </w:pPr>
      <w:r>
        <w:t xml:space="preserve">businessanalytiq.com • Confidential • ISO 14064 Audit Dossier</w:t>
      </w:r>
    </w:p>
    <w:p>
      <w:pPr>
        <w:pStyle w:val="BodyText"/>
      </w:pPr>
      <w:r>
        <w:t xml:space="preserve">Page 2 of 2 • Factory Gate Steel PCF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Steel - ISO 14064 Audit-Ready Analysis</dc:title>
  <dc:creator/>
  <dc:description>Audit-ready Product Carbon Footprint (PCF) report for 1.0 kg of steel produced in Canada, quantified in accordance with ISO 14064-1 / ISO 14067 standards using a cradle-to-gate boundary.</dc:description>
  <dc:language>en</dc:language>
  <cp:keywords/>
  <dcterms:created xsi:type="dcterms:W3CDTF">2026-10-26T14:57:24Z</dcterms:created>
  <dcterms:modified xsi:type="dcterms:W3CDTF">2026-10-26T14:57:24Z</dcterms:modified>
</cp:coreProperties>
</file>

<file path=docProps/custom.xml><?xml version="1.0" encoding="utf-8"?>
<Properties xmlns="http://schemas.openxmlformats.org/officeDocument/2006/custom-properties" xmlns:vt="http://schemas.openxmlformats.org/officeDocument/2006/docPropsVTypes"/>
</file>