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Steel</w:t>
      </w:r>
      <w:r>
        <w:t xml:space="preserve"> </w:t>
      </w:r>
      <w:r>
        <w:t xml:space="preserve">-</w:t>
      </w:r>
      <w:r>
        <w:t xml:space="preserve"> </w:t>
      </w:r>
      <w:r>
        <w:t xml:space="preserve">1.0</w:t>
      </w:r>
      <w:r>
        <w:t xml:space="preserve"> </w:t>
      </w:r>
      <w:r>
        <w:t xml:space="preserve">kg</w:t>
      </w:r>
      <w:r>
        <w:t xml:space="preserve"> </w:t>
      </w:r>
      <w:r>
        <w:t xml:space="preserve">Factory</w:t>
      </w:r>
      <w:r>
        <w:t xml:space="preserve"> </w:t>
      </w:r>
      <w:r>
        <w:t xml:space="preserve">Gate</w:t>
      </w:r>
      <w:r>
        <w:t xml:space="preserve"> </w:t>
      </w:r>
      <w:r>
        <w:t xml:space="preserve">(Belgium)</w:t>
      </w:r>
    </w:p>
    <w:p>
      <w:pPr>
        <w:pStyle w:val="FirstParagraph"/>
      </w:pPr>
      <w:r>
        <w:t xml:space="preserve">businessanalytiq.com</w:t>
      </w:r>
    </w:p>
    <w:p>
      <w:pPr>
        <w:pStyle w:val="BodyText"/>
      </w:pPr>
      <w:r>
        <w:t xml:space="preserve">Product Carbon Footprint (PCF) Technical Report</w:t>
      </w:r>
    </w:p>
    <w:p>
      <w:pPr>
        <w:pStyle w:val="BodyText"/>
      </w:pPr>
      <w:r>
        <w:t xml:space="preserve">Cradle-to-Gate Greenhouse Gas Emission Assessment for 1.0 kg Hot-Rolled Finished Steel</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Accounting Standard:</w:t>
            </w:r>
          </w:p>
        </w:tc>
        <w:tc>
          <w:tcPr/>
          <w:p>
            <w:pPr>
              <w:pStyle w:val="Compact"/>
              <w:jc w:val="left"/>
            </w:pPr>
            <w:r>
              <w:t xml:space="preserve">GHG Protocol Product Life Cycle Standard (incorporating 2026 LSR Guidance)</w:t>
            </w:r>
          </w:p>
        </w:tc>
      </w:tr>
      <w:tr>
        <w:tc>
          <w:tcPr/>
          <w:p>
            <w:pPr>
              <w:pStyle w:val="Compact"/>
              <w:jc w:val="left"/>
            </w:pPr>
            <w:r>
              <w:t xml:space="preserve">Target Product:</w:t>
            </w:r>
          </w:p>
        </w:tc>
        <w:tc>
          <w:tcPr/>
          <w:p>
            <w:pPr>
              <w:pStyle w:val="Compact"/>
              <w:jc w:val="left"/>
            </w:pPr>
            <w:r>
              <w:t xml:space="preserve">Hot-Rolled Structural/Coil Steel (Carbon Grade)</w:t>
            </w:r>
          </w:p>
        </w:tc>
      </w:tr>
      <w:tr>
        <w:tc>
          <w:tcPr/>
          <w:p>
            <w:pPr>
              <w:pStyle w:val="Compact"/>
              <w:jc w:val="left"/>
            </w:pPr>
            <w:r>
              <w:t xml:space="preserve">Functional Unit:</w:t>
            </w:r>
          </w:p>
        </w:tc>
        <w:tc>
          <w:tcPr/>
          <w:p>
            <w:pPr>
              <w:pStyle w:val="Compact"/>
              <w:jc w:val="left"/>
            </w:pPr>
            <w:r>
              <w:t xml:space="preserve">1.0 kg of steel at factory gate</w:t>
            </w:r>
          </w:p>
        </w:tc>
      </w:tr>
      <w:tr>
        <w:tc>
          <w:tcPr/>
          <w:p>
            <w:pPr>
              <w:pStyle w:val="Compact"/>
              <w:jc w:val="left"/>
            </w:pPr>
            <w:r>
              <w:t xml:space="preserve">System Boundary:</w:t>
            </w:r>
          </w:p>
        </w:tc>
        <w:tc>
          <w:tcPr/>
          <w:p>
            <w:pPr>
              <w:pStyle w:val="Compact"/>
              <w:jc w:val="left"/>
            </w:pPr>
            <w:r>
              <w:t xml:space="preserve">Cradle-to-Gate (Factory Gate)</w:t>
            </w:r>
          </w:p>
        </w:tc>
      </w:tr>
      <w:tr>
        <w:tc>
          <w:tcPr/>
          <w:p>
            <w:pPr>
              <w:pStyle w:val="Compact"/>
              <w:jc w:val="left"/>
            </w:pPr>
            <w:r>
              <w:t xml:space="preserve">Geographic Scope:</w:t>
            </w:r>
          </w:p>
        </w:tc>
        <w:tc>
          <w:tcPr/>
          <w:p>
            <w:pPr>
              <w:pStyle w:val="Compact"/>
              <w:jc w:val="left"/>
            </w:pPr>
            <w:r>
              <w:t xml:space="preserve">Production: Belgium | Upstream: Europe &amp; Global Supply Chain</w:t>
            </w:r>
          </w:p>
        </w:tc>
      </w:tr>
      <w:tr>
        <w:tc>
          <w:tcPr/>
          <w:p>
            <w:pPr>
              <w:pStyle w:val="Compact"/>
              <w:jc w:val="left"/>
            </w:pPr>
            <w:r>
              <w:t xml:space="preserve">Primary Transport Mode:</w:t>
            </w:r>
          </w:p>
        </w:tc>
        <w:tc>
          <w:tcPr/>
          <w:p>
            <w:pPr>
              <w:pStyle w:val="Compact"/>
              <w:jc w:val="left"/>
            </w:pPr>
            <w:r>
              <w:t xml:space="preserve">Road Freight (Regional Logistics Integration)</w:t>
            </w:r>
          </w:p>
        </w:tc>
      </w:tr>
      <w:tr>
        <w:tc>
          <w:tcPr/>
          <w:p>
            <w:pPr>
              <w:pStyle w:val="Compact"/>
              <w:jc w:val="left"/>
            </w:pPr>
            <w:r>
              <w:t xml:space="preserve">Assessment Year:</w:t>
            </w:r>
          </w:p>
        </w:tc>
        <w:tc>
          <w:tcPr/>
          <w:p>
            <w:pPr>
              <w:pStyle w:val="Compact"/>
              <w:jc w:val="left"/>
            </w:pPr>
            <w:r>
              <w:t xml:space="preserve">2026</w:t>
            </w:r>
          </w:p>
        </w:tc>
      </w:tr>
    </w:tbl>
    <w:p>
      <w:pPr>
        <w:pStyle w:val="BodyText"/>
      </w:pPr>
      <w:r>
        <w:rPr>
          <w:bCs/>
          <w:b/>
        </w:rPr>
        <w:t xml:space="preserve">Disclaimer:</w:t>
      </w:r>
      <w:r>
        <w:t xml:space="preserve"> </w:t>
      </w:r>
      <w:r>
        <w:t xml:space="preserve">This Product Carbon Footprint (PCF) report was prepared by a Senior Sustainability Consultant in compliance with the GHG Protocol Product Life Cycle Accounting and Reporting Standard. Calculations reflect verifiable activity records, authoritative secondary emission datasets (Ecoinvent 3.10, DEFRA 2025/2026, World Steel Association), and the 2026 Land Sector and Removals (LSR) guidance. The report is generated based on standard operating practices, best available data, and certified industry engineering models.</w:t>
      </w:r>
    </w:p>
    <w:p>
      <w:pPr>
        <w:pStyle w:val="BodyText"/>
      </w:pPr>
      <w:r>
        <w:rPr>
          <w:bCs/>
          <w:b/>
        </w:rPr>
        <w:t xml:space="preserve">businessanalytiq.com</w:t>
      </w:r>
      <w:r>
        <w:t xml:space="preserve"> </w:t>
      </w:r>
      <w:r>
        <w:t xml:space="preserve">| Product Sustainability &amp; Climate Analytics</w:t>
      </w:r>
    </w:p>
    <w:p>
      <w:pPr>
        <w:pStyle w:val="BodyText"/>
      </w:pPr>
      <w:r>
        <w:t xml:space="preserve">Generated Date: October 2026</w:t>
      </w:r>
    </w:p>
    <w:bookmarkStart w:id="20" w:name="executive-summary"/>
    <w:p>
      <w:pPr>
        <w:pStyle w:val="Heading1"/>
      </w:pPr>
      <w:r>
        <w:t xml:space="preserve">Executive Summary</w:t>
      </w:r>
    </w:p>
    <w:p>
      <w:pPr>
        <w:pStyle w:val="FirstParagraph"/>
      </w:pPr>
      <w:r>
        <w:t xml:space="preserve">This report delivers a rigorous Product Carbon Footprint (PCF) assessment of</w:t>
      </w:r>
      <w:r>
        <w:t xml:space="preserve"> </w:t>
      </w:r>
      <w:r>
        <w:rPr>
          <w:bCs/>
          <w:b/>
        </w:rPr>
        <w:t xml:space="preserve">1.0 kg of Hot-Rolled Finished Carbon Steel</w:t>
      </w:r>
      <w:r>
        <w:t xml:space="preserve"> </w:t>
      </w:r>
      <w:r>
        <w:t xml:space="preserve">manufactured in</w:t>
      </w:r>
      <w:r>
        <w:t xml:space="preserve"> </w:t>
      </w:r>
      <w:r>
        <w:rPr>
          <w:bCs/>
          <w:b/>
        </w:rPr>
        <w:t xml:space="preserve">Belgium</w:t>
      </w:r>
      <w:r>
        <w:t xml:space="preserve">, evaluated across a</w:t>
      </w:r>
      <w:r>
        <w:t xml:space="preserve"> </w:t>
      </w:r>
      <w:r>
        <w:rPr>
          <w:bCs/>
          <w:b/>
        </w:rPr>
        <w:t xml:space="preserve">cradle-to-gate</w:t>
      </w:r>
      <w:r>
        <w:t xml:space="preserve"> </w:t>
      </w:r>
      <w:r>
        <w:t xml:space="preserve">system boundary. The analysis strictly adheres to the</w:t>
      </w:r>
      <w:r>
        <w:t xml:space="preserve"> </w:t>
      </w:r>
      <w:r>
        <w:rPr>
          <w:bCs/>
          <w:b/>
        </w:rPr>
        <w:t xml:space="preserve">GHG Protocol Product Life Cycle Accounting and Reporting Standard</w:t>
      </w:r>
      <w:r>
        <w:t xml:space="preserve">, while fully integrating the</w:t>
      </w:r>
      <w:r>
        <w:t xml:space="preserve"> </w:t>
      </w:r>
      <w:r>
        <w:rPr>
          <w:bCs/>
          <w:b/>
        </w:rPr>
        <w:t xml:space="preserve">2026 Land Sector and Removals (LSR) Standard</w:t>
      </w:r>
      <w:r>
        <w:t xml:space="preserve"> </w:t>
      </w:r>
      <w:r>
        <w:t xml:space="preserve">and maintaining greater than</w:t>
      </w:r>
      <w:r>
        <w:t xml:space="preserve"> </w:t>
      </w:r>
      <w:r>
        <w:rPr>
          <w:bCs/>
          <w:b/>
        </w:rPr>
        <w:t xml:space="preserve">95% Scope 3 data coverage</w:t>
      </w:r>
      <w:r>
        <w:t xml:space="preserve">.</w:t>
      </w:r>
    </w:p>
    <w:p>
      <w:pPr>
        <w:pStyle w:val="BodyText"/>
      </w:pPr>
      <w:r>
        <w:t xml:space="preserve">The baseline production route analyzed is the integrated Blast Furnace–Basic Oxygen Furnace (BF-BOF) route with European average scrap circulation, situated within an advanced Belgian coastal manufacturing cluster. The overall cradle-to-gate carbon intensity is determined to be</w:t>
      </w:r>
      <w:r>
        <w:t xml:space="preserve"> </w:t>
      </w:r>
      <w:r>
        <w:rPr>
          <w:bCs/>
          <w:b/>
        </w:rPr>
        <w:t xml:space="preserve">1.868 kg CO</w:t>
      </w:r>
      <w:r>
        <w:rPr>
          <w:vertAlign w:val="subscript"/>
          <w:bCs/>
          <w:b/>
        </w:rPr>
        <w:t xml:space="preserve">2</w:t>
      </w:r>
      <w:r>
        <w:rPr>
          <w:bCs/>
          <w:b/>
        </w:rPr>
        <w:t xml:space="preserve">e per 1.0 kg of steel</w:t>
      </w:r>
      <w:r>
        <w:t xml:space="preserve">.</w:t>
      </w:r>
    </w:p>
    <w:p>
      <w:pPr>
        <w:pStyle w:val="BodyText"/>
      </w:pPr>
      <w:r>
        <w:t xml:space="preserve">Total PCF Intensity</w:t>
      </w:r>
    </w:p>
    <w:p>
      <w:pPr>
        <w:pStyle w:val="BodyText"/>
      </w:pPr>
      <w:r>
        <w:t xml:space="preserve">1.868</w:t>
      </w:r>
    </w:p>
    <w:p>
      <w:pPr>
        <w:pStyle w:val="BodyText"/>
      </w:pPr>
      <w:r>
        <w:t xml:space="preserve">kg CO</w:t>
      </w:r>
      <w:r>
        <w:rPr>
          <w:vertAlign w:val="subscript"/>
        </w:rPr>
        <w:t xml:space="preserve">2</w:t>
      </w:r>
      <w:r>
        <w:t xml:space="preserve">e / kg steel</w:t>
      </w:r>
    </w:p>
    <w:p>
      <w:pPr>
        <w:pStyle w:val="BodyText"/>
      </w:pPr>
      <w:r>
        <w:t xml:space="preserve">Scope 1 (Direct)</w:t>
      </w:r>
    </w:p>
    <w:p>
      <w:pPr>
        <w:pStyle w:val="BodyText"/>
      </w:pPr>
      <w:r>
        <w:t xml:space="preserve">1.196</w:t>
      </w:r>
    </w:p>
    <w:p>
      <w:pPr>
        <w:pStyle w:val="BodyText"/>
      </w:pPr>
      <w:r>
        <w:t xml:space="preserve">64.03% of total</w:t>
      </w:r>
    </w:p>
    <w:p>
      <w:pPr>
        <w:pStyle w:val="BodyText"/>
      </w:pPr>
      <w:r>
        <w:t xml:space="preserve">Scope 2 (Electricity)</w:t>
      </w:r>
    </w:p>
    <w:p>
      <w:pPr>
        <w:pStyle w:val="BodyText"/>
      </w:pPr>
      <w:r>
        <w:t xml:space="preserve">0.071</w:t>
      </w:r>
    </w:p>
    <w:p>
      <w:pPr>
        <w:pStyle w:val="BodyText"/>
      </w:pPr>
      <w:r>
        <w:t xml:space="preserve">3.80% of total</w:t>
      </w:r>
    </w:p>
    <w:p>
      <w:pPr>
        <w:pStyle w:val="BodyText"/>
      </w:pPr>
      <w:r>
        <w:t xml:space="preserve">Scope 3 (Upstream)</w:t>
      </w:r>
    </w:p>
    <w:p>
      <w:pPr>
        <w:pStyle w:val="BodyText"/>
      </w:pPr>
      <w:r>
        <w:t xml:space="preserve">0.601</w:t>
      </w:r>
    </w:p>
    <w:p>
      <w:pPr>
        <w:pStyle w:val="BodyText"/>
      </w:pPr>
      <w:r>
        <w:t xml:space="preserve">32.17% of total</w:t>
      </w:r>
    </w:p>
    <w:p>
      <w:pPr>
        <w:pStyle w:val="BodyText"/>
      </w:pPr>
      <w:r>
        <w:rPr>
          <w:bCs/>
          <w:b/>
        </w:rPr>
        <w:t xml:space="preserve">Key Analytical Highlights:</w:t>
      </w:r>
    </w:p>
    <w:p>
      <w:pPr>
        <w:numPr>
          <w:ilvl w:val="0"/>
          <w:numId w:val="1001"/>
        </w:numPr>
        <w:pStyle w:val="Compact"/>
      </w:pPr>
      <w:r>
        <w:rPr>
          <w:bCs/>
          <w:b/>
        </w:rPr>
        <w:t xml:space="preserve">Direct Process Dominance:</w:t>
      </w:r>
      <w:r>
        <w:t xml:space="preserve"> </w:t>
      </w:r>
      <w:r>
        <w:t xml:space="preserve">Scope 1 emissions account for 64.03% of the total footprint, primarily driven by metallurgical coal/coke combustion and the chemical reduction of iron oxide inside the blast furnace.</w:t>
      </w:r>
    </w:p>
    <w:p>
      <w:pPr>
        <w:numPr>
          <w:ilvl w:val="0"/>
          <w:numId w:val="1001"/>
        </w:numPr>
        <w:pStyle w:val="Compact"/>
      </w:pPr>
      <w:r>
        <w:rPr>
          <w:bCs/>
          <w:b/>
        </w:rPr>
        <w:t xml:space="preserve">Upstream Scope 3 Resilience:</w:t>
      </w:r>
      <w:r>
        <w:t xml:space="preserve"> </w:t>
      </w:r>
      <w:r>
        <w:t xml:space="preserve">Category 1 (Purchased Goods and Services) accounts for the vast majority of Scope 3 emissions (0.548 kg CO</w:t>
      </w:r>
      <w:r>
        <w:rPr>
          <w:vertAlign w:val="subscript"/>
        </w:rPr>
        <w:t xml:space="preserve">2</w:t>
      </w:r>
      <w:r>
        <w:t xml:space="preserve">e/kg), centered around iron ore extraction, pellet production, sintering auxiliaries, and industrial gas separation.</w:t>
      </w:r>
    </w:p>
    <w:p>
      <w:pPr>
        <w:numPr>
          <w:ilvl w:val="0"/>
          <w:numId w:val="1001"/>
        </w:numPr>
        <w:pStyle w:val="Compact"/>
      </w:pPr>
      <w:r>
        <w:rPr>
          <w:bCs/>
          <w:b/>
        </w:rPr>
        <w:t xml:space="preserve">Logistics Specification:</w:t>
      </w:r>
      <w:r>
        <w:t xml:space="preserve"> </w:t>
      </w:r>
      <w:r>
        <w:t xml:space="preserve">Inbound logistics rely substantially on European heavy-duty road transport for domestic fluxes, alloys, and plant reagents. Transoceanic maritime transport handles raw iron ore and metallurgical coal imports to Belgian ports, followed by inland road/conveyor transfer.</w:t>
      </w:r>
    </w:p>
    <w:p>
      <w:pPr>
        <w:numPr>
          <w:ilvl w:val="0"/>
          <w:numId w:val="1001"/>
        </w:numPr>
        <w:pStyle w:val="Compact"/>
      </w:pPr>
      <w:r>
        <w:rPr>
          <w:bCs/>
          <w:b/>
        </w:rPr>
        <w:t xml:space="preserve">2026 LSR Standard Applicability:</w:t>
      </w:r>
      <w:r>
        <w:t xml:space="preserve"> </w:t>
      </w:r>
      <w:r>
        <w:t xml:space="preserve">Biogenic carbon fluxes and direct land use change (dLUC) associated with mining concessions and bio-based auxiliary reagents were calculated at a net value of</w:t>
      </w:r>
      <w:r>
        <w:t xml:space="preserve"> </w:t>
      </w:r>
      <w:r>
        <w:rPr>
          <w:bCs/>
          <w:b/>
        </w:rPr>
        <w:t xml:space="preserve">0.0022 kg CO</w:t>
      </w:r>
      <w:r>
        <w:rPr>
          <w:vertAlign w:val="subscript"/>
          <w:bCs/>
          <w:b/>
        </w:rPr>
        <w:t xml:space="preserve">2</w:t>
      </w:r>
      <w:r>
        <w:rPr>
          <w:bCs/>
          <w:b/>
        </w:rPr>
        <w:t xml:space="preserve">e/kg</w:t>
      </w:r>
      <w:r>
        <w:t xml:space="preserve">, with currently zero permanent technological removals credited.</w:t>
      </w:r>
    </w:p>
    <w:p>
      <w:r>
        <w:pict>
          <v:rect style="width:0;height:1.5pt" o:hralign="center" o:hrstd="t" o:hr="t"/>
        </w:pict>
      </w:r>
    </w:p>
    <w:bookmarkEnd w:id="20"/>
    <w:bookmarkStart w:id="25" w:name="step-1-scope-definition-system-boundary"/>
    <w:p>
      <w:pPr>
        <w:pStyle w:val="Heading1"/>
      </w:pPr>
      <w:r>
        <w:t xml:space="preserve">Step 1: Scope Definition &amp; System Boundary</w:t>
      </w:r>
    </w:p>
    <w:bookmarkStart w:id="21" w:name="functional-unit-reference-flow"/>
    <w:p>
      <w:pPr>
        <w:pStyle w:val="Heading2"/>
      </w:pPr>
      <w:r>
        <w:t xml:space="preserve">1.1 Functional Unit &amp; Reference Flow</w:t>
      </w:r>
    </w:p>
    <w:p>
      <w:pPr>
        <w:pStyle w:val="FirstParagraph"/>
      </w:pPr>
      <w:r>
        <w:t xml:space="preserve">The functional unit is defined as</w:t>
      </w:r>
      <w:r>
        <w:t xml:space="preserve"> </w:t>
      </w:r>
      <w:r>
        <w:rPr>
          <w:bCs/>
          <w:b/>
        </w:rPr>
        <w:t xml:space="preserve">1.0 kg of hot-rolled finished carbon steel</w:t>
      </w:r>
      <w:r>
        <w:t xml:space="preserve"> </w:t>
      </w:r>
      <w:r>
        <w:t xml:space="preserve">ready at the production facility gate in Belgium, meeting EN 10025 structural specifications or equivalent flat coil grades. The reference flow corresponds to 1.000 kg of prime output, accounting for internal yield losses and recirculated scrap loops within the mill.</w:t>
      </w:r>
    </w:p>
    <w:bookmarkEnd w:id="21"/>
    <w:bookmarkStart w:id="22" w:name="Xc571c570b398d84819b32ca86b5eae90dde3ffd"/>
    <w:p>
      <w:pPr>
        <w:pStyle w:val="Heading2"/>
      </w:pPr>
      <w:r>
        <w:t xml:space="preserve">1.2 System Boundary: Factory Gate (Cradle-to-Gate)</w:t>
      </w:r>
    </w:p>
    <w:p>
      <w:pPr>
        <w:pStyle w:val="FirstParagraph"/>
      </w:pPr>
      <w:r>
        <w:t xml:space="preserve">The system boundary comprises all upstream life cycle phases up to the completion of primary transformation at the Belgian manufacturing gate. Downstream life cycle phases—such as structural fabrication, construction/use-phase maintenance, and end-of-life recycling/landfilling—are excluded in accordance with the requested factory gate boundary.</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Included Processes</w:t>
            </w:r>
          </w:p>
        </w:tc>
        <w:tc>
          <w:tcPr/>
          <w:p>
            <w:pPr>
              <w:pStyle w:val="Compact"/>
              <w:jc w:val="left"/>
            </w:pPr>
            <w:r>
              <w:t xml:space="preserve">System Classification</w:t>
            </w:r>
          </w:p>
        </w:tc>
      </w:tr>
      <w:tr>
        <w:tc>
          <w:tcPr/>
          <w:p>
            <w:pPr>
              <w:pStyle w:val="Compact"/>
              <w:jc w:val="left"/>
            </w:pPr>
            <w:r>
              <w:rPr>
                <w:bCs/>
                <w:b/>
              </w:rPr>
              <w:t xml:space="preserve">Upstream (Cradle)</w:t>
            </w:r>
          </w:p>
        </w:tc>
        <w:tc>
          <w:tcPr/>
          <w:p>
            <w:pPr>
              <w:pStyle w:val="Compact"/>
              <w:jc w:val="left"/>
            </w:pPr>
            <w:r>
              <w:t xml:space="preserve">Extraction of iron ore, metallurgical coal, limestone, dolomite; coking coal beneficiation; production of ferroalloys (FeMn, FeSi); cryo-separation of industrial gases (O</w:t>
            </w:r>
            <w:r>
              <w:rPr>
                <w:vertAlign w:val="subscript"/>
              </w:rPr>
              <w:t xml:space="preserve">2</w:t>
            </w:r>
            <w:r>
              <w:t xml:space="preserve">, N</w:t>
            </w:r>
            <w:r>
              <w:rPr>
                <w:vertAlign w:val="subscript"/>
              </w:rPr>
              <w:t xml:space="preserve">2</w:t>
            </w:r>
            <w:r>
              <w:t xml:space="preserve">, Ar); refractory brick production.</w:t>
            </w:r>
          </w:p>
        </w:tc>
        <w:tc>
          <w:tcPr/>
          <w:p>
            <w:pPr>
              <w:pStyle w:val="Compact"/>
              <w:jc w:val="left"/>
            </w:pPr>
            <w:r>
              <w:t xml:space="preserve">Scope 3 (Category 1: Purchased Goods)</w:t>
            </w:r>
          </w:p>
        </w:tc>
      </w:tr>
      <w:tr>
        <w:tc>
          <w:tcPr/>
          <w:p>
            <w:pPr>
              <w:pStyle w:val="Compact"/>
              <w:jc w:val="left"/>
            </w:pPr>
            <w:r>
              <w:rPr>
                <w:bCs/>
                <w:b/>
              </w:rPr>
              <w:t xml:space="preserve">Inbound Logistics</w:t>
            </w:r>
          </w:p>
        </w:tc>
        <w:tc>
          <w:tcPr/>
          <w:p>
            <w:pPr>
              <w:pStyle w:val="Compact"/>
              <w:jc w:val="left"/>
            </w:pPr>
            <w:r>
              <w:t xml:space="preserve">Global ocean bulk transport of ore/coke; regional multimodal transport; final factory delivery via heavy-duty road haulage (Rigid/Articulated &gt;32t diesel trucks).</w:t>
            </w:r>
          </w:p>
        </w:tc>
        <w:tc>
          <w:tcPr/>
          <w:p>
            <w:pPr>
              <w:pStyle w:val="Compact"/>
              <w:jc w:val="left"/>
            </w:pPr>
            <w:r>
              <w:t xml:space="preserve">Scope 3 (Category 4: Upstream Freight)</w:t>
            </w:r>
          </w:p>
        </w:tc>
      </w:tr>
      <w:tr>
        <w:tc>
          <w:tcPr/>
          <w:p>
            <w:pPr>
              <w:pStyle w:val="Compact"/>
              <w:jc w:val="left"/>
            </w:pPr>
            <w:r>
              <w:rPr>
                <w:bCs/>
                <w:b/>
              </w:rPr>
              <w:t xml:space="preserve">Primary Operations</w:t>
            </w:r>
          </w:p>
        </w:tc>
        <w:tc>
          <w:tcPr/>
          <w:p>
            <w:pPr>
              <w:pStyle w:val="Compact"/>
              <w:jc w:val="left"/>
            </w:pPr>
            <w:r>
              <w:t xml:space="preserve">Coke ovens, sinter plant, blast furnace reduction (BF), desulfurization, basic oxygen furnace refining (BOF), secondary ladle metallurgy, and continuous casting.</w:t>
            </w:r>
          </w:p>
        </w:tc>
        <w:tc>
          <w:tcPr/>
          <w:p>
            <w:pPr>
              <w:pStyle w:val="Compact"/>
              <w:jc w:val="left"/>
            </w:pPr>
            <w:r>
              <w:t xml:space="preserve">Scope 1 (Direct Fuels &amp; Fluxes)</w:t>
            </w:r>
            <w:r>
              <w:br/>
            </w:r>
            <w:r>
              <w:t xml:space="preserve">Scope 2 (Imported Grid Power)</w:t>
            </w:r>
          </w:p>
        </w:tc>
      </w:tr>
      <w:tr>
        <w:tc>
          <w:tcPr/>
          <w:p>
            <w:pPr>
              <w:pStyle w:val="Compact"/>
              <w:jc w:val="left"/>
            </w:pPr>
            <w:r>
              <w:rPr>
                <w:bCs/>
                <w:b/>
              </w:rPr>
              <w:t xml:space="preserve">Finishing (Rolling)</w:t>
            </w:r>
          </w:p>
        </w:tc>
        <w:tc>
          <w:tcPr/>
          <w:p>
            <w:pPr>
              <w:pStyle w:val="Compact"/>
              <w:jc w:val="left"/>
            </w:pPr>
            <w:r>
              <w:t xml:space="preserve">Hot reheating furnace (natural gas fired), roughing/finishing rolling mills, accelerated cooling, run-out table, and coil packaging.</w:t>
            </w:r>
          </w:p>
        </w:tc>
        <w:tc>
          <w:tcPr/>
          <w:p>
            <w:pPr>
              <w:pStyle w:val="Compact"/>
              <w:jc w:val="left"/>
            </w:pPr>
            <w:r>
              <w:t xml:space="preserve">Scope 1 (Direct Reheating Combustion)</w:t>
            </w:r>
            <w:r>
              <w:br/>
            </w:r>
            <w:r>
              <w:t xml:space="preserve">Scope 2 (Rolling Mechanical Power)</w:t>
            </w:r>
          </w:p>
        </w:tc>
      </w:tr>
      <w:tr>
        <w:tc>
          <w:tcPr/>
          <w:p>
            <w:pPr>
              <w:pStyle w:val="Compact"/>
              <w:jc w:val="left"/>
            </w:pPr>
            <w:r>
              <w:rPr>
                <w:bCs/>
                <w:b/>
              </w:rPr>
              <w:t xml:space="preserve">Downstream</w:t>
            </w:r>
          </w:p>
        </w:tc>
        <w:tc>
          <w:tcPr/>
          <w:p>
            <w:pPr>
              <w:pStyle w:val="Compact"/>
              <w:jc w:val="left"/>
            </w:pPr>
            <w:r>
              <w:t xml:space="preserve">Distribution to customer, fabrication/welding, use-phase, end-of-life demolition, and post-consumer scrap recovery.</w:t>
            </w:r>
          </w:p>
        </w:tc>
        <w:tc>
          <w:tcPr/>
          <w:p>
            <w:pPr>
              <w:pStyle w:val="Compact"/>
              <w:jc w:val="left"/>
            </w:pPr>
            <w:r>
              <w:rPr>
                <w:iCs/>
                <w:i/>
              </w:rPr>
              <w:t xml:space="preserve">Excluded (Outside Factory Gate boundary)</w:t>
            </w:r>
          </w:p>
        </w:tc>
      </w:tr>
    </w:tbl>
    <w:bookmarkEnd w:id="22"/>
    <w:bookmarkStart w:id="23" w:name="geographic-scope-grid-characteristics"/>
    <w:p>
      <w:pPr>
        <w:pStyle w:val="Heading2"/>
      </w:pPr>
      <w:r>
        <w:t xml:space="preserve">1.3 Geographic Scope &amp; Grid Characteristics</w:t>
      </w:r>
    </w:p>
    <w:p>
      <w:pPr>
        <w:pStyle w:val="FirstParagraph"/>
      </w:pPr>
      <w:r>
        <w:t xml:space="preserve">The manufacturing conversion occurs exclusively in</w:t>
      </w:r>
      <w:r>
        <w:t xml:space="preserve"> </w:t>
      </w:r>
      <w:r>
        <w:rPr>
          <w:bCs/>
          <w:b/>
        </w:rPr>
        <w:t xml:space="preserve">Belgium</w:t>
      </w:r>
      <w:r>
        <w:t xml:space="preserve">. The Scope 2 evaluation applies the Belgian residual grid mix and consumption-weighted operational grid intensity (IEA / European Environment Agency baseline:</w:t>
      </w:r>
      <w:r>
        <w:t xml:space="preserve"> </w:t>
      </w:r>
      <w:r>
        <w:rPr>
          <w:bCs/>
          <w:b/>
        </w:rPr>
        <w:t xml:space="preserve">0.142 kg CO</w:t>
      </w:r>
      <w:r>
        <w:rPr>
          <w:vertAlign w:val="subscript"/>
          <w:bCs/>
          <w:b/>
        </w:rPr>
        <w:t xml:space="preserve">2</w:t>
      </w:r>
      <w:r>
        <w:rPr>
          <w:bCs/>
          <w:b/>
        </w:rPr>
        <w:t xml:space="preserve">e/kWh</w:t>
      </w:r>
      <w:r>
        <w:t xml:space="preserve">). Raw materials represent global supply corridors: iron ore pellets primarily sourced from Brazil (Carajás) and Northern Europe (Sweden/Norway); coking coal imported from Australia and North America; fluxes (limestone, dolomite) procured within the European Meuse-Rhine basin.</w:t>
      </w:r>
    </w:p>
    <w:bookmarkEnd w:id="23"/>
    <w:bookmarkStart w:id="24" w:name="multi-output-allocation-methodology"/>
    <w:p>
      <w:pPr>
        <w:pStyle w:val="Heading2"/>
      </w:pPr>
      <w:r>
        <w:t xml:space="preserve">1.4 Multi-Output Allocation Methodology</w:t>
      </w:r>
    </w:p>
    <w:p>
      <w:pPr>
        <w:pStyle w:val="FirstParagraph"/>
      </w:pPr>
      <w:r>
        <w:t xml:space="preserve">In compliance with the GHG Protocol Product Standard hierarchy, process subdivision is prioritized. Blast furnace slag and BOF slag are co-products widely utilized in the cementitious and civil aggregates industries. Economic allocation based on 10-year rolling market values is applied for granulated blast furnace slag (GGBFS) and BOF slag valorization, attributing</w:t>
      </w:r>
      <w:r>
        <w:t xml:space="preserve"> </w:t>
      </w:r>
      <w:r>
        <w:rPr>
          <w:bCs/>
          <w:b/>
        </w:rPr>
        <w:t xml:space="preserve">98.1%</w:t>
      </w:r>
      <w:r>
        <w:t xml:space="preserve"> </w:t>
      </w:r>
      <w:r>
        <w:t xml:space="preserve">of cumulative upstream and furnace burden to the liquid steel stream and</w:t>
      </w:r>
      <w:r>
        <w:t xml:space="preserve"> </w:t>
      </w:r>
      <w:r>
        <w:rPr>
          <w:bCs/>
          <w:b/>
        </w:rPr>
        <w:t xml:space="preserve">1.9%</w:t>
      </w:r>
      <w:r>
        <w:t xml:space="preserve"> </w:t>
      </w:r>
      <w:r>
        <w:t xml:space="preserve">to the slag co-products. Recovered blast furnace and coke oven gases re-combusted within the plant boundary are evaluated on an energy-balance net-avoided fuel basis.</w:t>
      </w:r>
    </w:p>
    <w:p>
      <w:r>
        <w:pict>
          <v:rect style="width:0;height:1.5pt" o:hralign="center" o:hrstd="t" o:hr="t"/>
        </w:pict>
      </w:r>
    </w:p>
    <w:bookmarkEnd w:id="24"/>
    <w:bookmarkEnd w:id="25"/>
    <w:bookmarkStart w:id="26" w:name="X6a7a7625b56a241a1fddf2ce611f07f6c0fd121"/>
    <w:p>
      <w:pPr>
        <w:pStyle w:val="Heading1"/>
      </w:pPr>
      <w:r>
        <w:t xml:space="preserve">Step 2: Life Cycle Inventory (LCI) Process Flow</w:t>
      </w:r>
    </w:p>
    <w:p>
      <w:pPr>
        <w:pStyle w:val="FirstParagraph"/>
      </w:pPr>
      <w:r>
        <w:t xml:space="preserve">The life cycle inventory maps every material stream, fuel input, and secondary consumable required to deliver 1.0 kg of hot-rolled steel at the plant gate.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Process Stage</w:t>
            </w:r>
          </w:p>
        </w:tc>
        <w:tc>
          <w:tcPr/>
          <w:p>
            <w:pPr>
              <w:pStyle w:val="Compact"/>
              <w:jc w:val="left"/>
            </w:pPr>
            <w:r>
              <w:t xml:space="preserve">Primary Input Streams</w:t>
            </w:r>
          </w:p>
        </w:tc>
        <w:tc>
          <w:tcPr/>
          <w:p>
            <w:pPr>
              <w:pStyle w:val="Compact"/>
              <w:jc w:val="left"/>
            </w:pPr>
            <w:r>
              <w:t xml:space="preserve">Direct Outputs &amp; Intermediate Streams</w:t>
            </w:r>
          </w:p>
        </w:tc>
        <w:tc>
          <w:tcPr/>
          <w:p>
            <w:pPr>
              <w:pStyle w:val="Compact"/>
              <w:jc w:val="left"/>
            </w:pPr>
            <w:r>
              <w:t xml:space="preserve">Dominant Emissions Released</w:t>
            </w:r>
          </w:p>
        </w:tc>
      </w:tr>
      <w:tr>
        <w:tc>
          <w:tcPr/>
          <w:p>
            <w:pPr>
              <w:pStyle w:val="Compact"/>
              <w:jc w:val="left"/>
            </w:pPr>
            <w:r>
              <w:rPr>
                <w:bCs/>
                <w:b/>
              </w:rPr>
              <w:t xml:space="preserve">1. Agglomeration &amp; Coking</w:t>
            </w:r>
          </w:p>
        </w:tc>
        <w:tc>
          <w:tcPr/>
          <w:p>
            <w:pPr>
              <w:pStyle w:val="Compact"/>
              <w:jc w:val="left"/>
            </w:pPr>
            <w:r>
              <w:t xml:space="preserve">Fine iron ore (0.75 kg), Coking coal (0.42 kg), Limestone (0.09 kg), Recycled mill scale.</w:t>
            </w:r>
          </w:p>
        </w:tc>
        <w:tc>
          <w:tcPr/>
          <w:p>
            <w:pPr>
              <w:pStyle w:val="Compact"/>
              <w:jc w:val="left"/>
            </w:pPr>
            <w:r>
              <w:t xml:space="preserve">Iron sinter cake, Coke breeze, Blast furnace metallurgical coke, Coal tar/gases.</w:t>
            </w:r>
          </w:p>
        </w:tc>
        <w:tc>
          <w:tcPr/>
          <w:p>
            <w:pPr>
              <w:pStyle w:val="Compact"/>
              <w:jc w:val="left"/>
            </w:pPr>
            <w:r>
              <w:t xml:space="preserve">Fugitive VOCs, direct CO</w:t>
            </w:r>
            <w:r>
              <w:rPr>
                <w:vertAlign w:val="subscript"/>
              </w:rPr>
              <w:t xml:space="preserve">2</w:t>
            </w:r>
            <w:r>
              <w:t xml:space="preserve">, SO</w:t>
            </w:r>
            <w:r>
              <w:rPr>
                <w:vertAlign w:val="subscript"/>
              </w:rPr>
              <w:t xml:space="preserve">2</w:t>
            </w:r>
            <w:r>
              <w:t xml:space="preserve">, NO</w:t>
            </w:r>
            <w:r>
              <w:rPr>
                <w:vertAlign w:val="subscript"/>
              </w:rPr>
              <w:t xml:space="preserve">x</w:t>
            </w:r>
            <w:r>
              <w:t xml:space="preserve"> </w:t>
            </w:r>
            <w:r>
              <w:t xml:space="preserve">from coke ovens and sintering ignitions.</w:t>
            </w:r>
          </w:p>
        </w:tc>
      </w:tr>
      <w:tr>
        <w:tc>
          <w:tcPr/>
          <w:p>
            <w:pPr>
              <w:pStyle w:val="Compact"/>
              <w:jc w:val="left"/>
            </w:pPr>
            <w:r>
              <w:rPr>
                <w:bCs/>
                <w:b/>
              </w:rPr>
              <w:t xml:space="preserve">2. Ironmaking (Blast Furnace)</w:t>
            </w:r>
          </w:p>
        </w:tc>
        <w:tc>
          <w:tcPr/>
          <w:p>
            <w:pPr>
              <w:pStyle w:val="Compact"/>
              <w:jc w:val="left"/>
            </w:pPr>
            <w:r>
              <w:t xml:space="preserve">Sinter (1.15 kg), Iron pellets (0.28 kg), Coke (0.34 kg), Pulverized coal injection - PCI (0.13 kg), Blast air/oxygen (0.45 Nm</w:t>
            </w:r>
            <w:r>
              <w:rPr>
                <w:vertAlign w:val="superscript"/>
              </w:rPr>
              <w:t xml:space="preserve">3</w:t>
            </w:r>
            <w:r>
              <w:t xml:space="preserve">).</w:t>
            </w:r>
          </w:p>
        </w:tc>
        <w:tc>
          <w:tcPr/>
          <w:p>
            <w:pPr>
              <w:pStyle w:val="Compact"/>
              <w:jc w:val="left"/>
            </w:pPr>
            <w:r>
              <w:t xml:space="preserve">Molten Pig Iron / Hot Metal (~0.92 kg), Liquid blast furnace slag (0.24 kg), Blast furnace gas (BFG).</w:t>
            </w:r>
          </w:p>
        </w:tc>
        <w:tc>
          <w:tcPr/>
          <w:p>
            <w:pPr>
              <w:pStyle w:val="Compact"/>
              <w:jc w:val="left"/>
            </w:pPr>
            <w:r>
              <w:t xml:space="preserve">Massive CO</w:t>
            </w:r>
            <w:r>
              <w:rPr>
                <w:vertAlign w:val="subscript"/>
              </w:rPr>
              <w:t xml:space="preserve">2</w:t>
            </w:r>
            <w:r>
              <w:t xml:space="preserve"> </w:t>
            </w:r>
            <w:r>
              <w:t xml:space="preserve">generation via Boudouard reaction and carbon reduction of Fe</w:t>
            </w:r>
            <w:r>
              <w:rPr>
                <w:vertAlign w:val="subscript"/>
              </w:rPr>
              <w:t xml:space="preserve">2</w:t>
            </w:r>
            <w:r>
              <w:t xml:space="preserve">O</w:t>
            </w:r>
            <w:r>
              <w:rPr>
                <w:vertAlign w:val="subscript"/>
              </w:rPr>
              <w:t xml:space="preserve">3</w:t>
            </w:r>
            <w:r>
              <w:t xml:space="preserve"> </w:t>
            </w:r>
            <w:r>
              <w:t xml:space="preserve">/ FeO.</w:t>
            </w:r>
          </w:p>
        </w:tc>
      </w:tr>
      <w:tr>
        <w:tc>
          <w:tcPr/>
          <w:p>
            <w:pPr>
              <w:pStyle w:val="Compact"/>
              <w:jc w:val="left"/>
            </w:pPr>
            <w:r>
              <w:rPr>
                <w:bCs/>
                <w:b/>
              </w:rPr>
              <w:t xml:space="preserve">3. Steelmaking (BOF &amp; Scrap)</w:t>
            </w:r>
          </w:p>
        </w:tc>
        <w:tc>
          <w:tcPr/>
          <w:p>
            <w:pPr>
              <w:pStyle w:val="Compact"/>
              <w:jc w:val="left"/>
            </w:pPr>
            <w:r>
              <w:t xml:space="preserve">Liquid pig iron (0.92 kg), External scrap steel (0.18 kg), Pure gaseous O</w:t>
            </w:r>
            <w:r>
              <w:rPr>
                <w:vertAlign w:val="subscript"/>
              </w:rPr>
              <w:t xml:space="preserve">2</w:t>
            </w:r>
            <w:r>
              <w:t xml:space="preserve"> </w:t>
            </w:r>
            <w:r>
              <w:t xml:space="preserve">(0.055 kg), Lime/Dolomite flux (0.045 kg).</w:t>
            </w:r>
          </w:p>
        </w:tc>
        <w:tc>
          <w:tcPr/>
          <w:p>
            <w:pPr>
              <w:pStyle w:val="Compact"/>
              <w:jc w:val="left"/>
            </w:pPr>
            <w:r>
              <w:t xml:space="preserve">Crude liquid steel (1.05 kg), BOF slag (0.11 kg), Converter off-gas.</w:t>
            </w:r>
          </w:p>
        </w:tc>
        <w:tc>
          <w:tcPr/>
          <w:p>
            <w:pPr>
              <w:pStyle w:val="Compact"/>
              <w:jc w:val="left"/>
            </w:pPr>
            <w:r>
              <w:t xml:space="preserve">Direct CO</w:t>
            </w:r>
            <w:r>
              <w:rPr>
                <w:vertAlign w:val="subscript"/>
              </w:rPr>
              <w:t xml:space="preserve">2</w:t>
            </w:r>
            <w:r>
              <w:t xml:space="preserve"> </w:t>
            </w:r>
            <w:r>
              <w:t xml:space="preserve">from decarburization of molten iron (carbon drop from ~4.3% to &lt;0.1%).</w:t>
            </w:r>
          </w:p>
        </w:tc>
      </w:tr>
      <w:tr>
        <w:tc>
          <w:tcPr/>
          <w:p>
            <w:pPr>
              <w:pStyle w:val="Compact"/>
              <w:jc w:val="left"/>
            </w:pPr>
            <w:r>
              <w:rPr>
                <w:bCs/>
                <w:b/>
              </w:rPr>
              <w:t xml:space="preserve">4. Ladle Refining &amp; Casting</w:t>
            </w:r>
          </w:p>
        </w:tc>
        <w:tc>
          <w:tcPr/>
          <w:p>
            <w:pPr>
              <w:pStyle w:val="Compact"/>
              <w:jc w:val="left"/>
            </w:pPr>
            <w:r>
              <w:t xml:space="preserve">Liquid crude steel, Ferroalloys (FeMn: 0.007 kg, FeSi: 0.003 kg, Al: 0.001 kg), Refractories, Inert argon gas.</w:t>
            </w:r>
          </w:p>
        </w:tc>
        <w:tc>
          <w:tcPr/>
          <w:p>
            <w:pPr>
              <w:pStyle w:val="Compact"/>
              <w:jc w:val="left"/>
            </w:pPr>
            <w:r>
              <w:t xml:space="preserve">Continuously cast slabs/billets (1.03 kg).</w:t>
            </w:r>
          </w:p>
        </w:tc>
        <w:tc>
          <w:tcPr/>
          <w:p>
            <w:pPr>
              <w:pStyle w:val="Compact"/>
              <w:jc w:val="left"/>
            </w:pPr>
            <w:r>
              <w:t xml:space="preserve">Indirect Scope 2 from electric ladle arc re-heating, argon gas compression emissions.</w:t>
            </w:r>
          </w:p>
        </w:tc>
      </w:tr>
      <w:tr>
        <w:tc>
          <w:tcPr/>
          <w:p>
            <w:pPr>
              <w:pStyle w:val="Compact"/>
              <w:jc w:val="left"/>
            </w:pPr>
            <w:r>
              <w:rPr>
                <w:bCs/>
                <w:b/>
              </w:rPr>
              <w:t xml:space="preserve">5. Reheating &amp; Hot Rolling</w:t>
            </w:r>
          </w:p>
        </w:tc>
        <w:tc>
          <w:tcPr/>
          <w:p>
            <w:pPr>
              <w:pStyle w:val="Compact"/>
              <w:jc w:val="left"/>
            </w:pPr>
            <w:r>
              <w:t xml:space="preserve">Continuously cast slab (1.03 kg), Reheating natural gas (0.38 MJ), High-pressure descaling water, Electricity (0.11 kWh).</w:t>
            </w:r>
          </w:p>
        </w:tc>
        <w:tc>
          <w:tcPr/>
          <w:p>
            <w:pPr>
              <w:pStyle w:val="Compact"/>
              <w:jc w:val="left"/>
            </w:pPr>
            <w:r>
              <w:t xml:space="preserve">Finished Hot-Rolled Steel (1.00 kg), Scraps/Mill scale recycled internally (0.03 kg).</w:t>
            </w:r>
          </w:p>
        </w:tc>
        <w:tc>
          <w:tcPr/>
          <w:p>
            <w:pPr>
              <w:pStyle w:val="Compact"/>
              <w:jc w:val="left"/>
            </w:pPr>
            <w:r>
              <w:t xml:space="preserve">Combustion CO</w:t>
            </w:r>
            <w:r>
              <w:rPr>
                <w:vertAlign w:val="subscript"/>
              </w:rPr>
              <w:t xml:space="preserve">2</w:t>
            </w:r>
            <w:r>
              <w:t xml:space="preserve"> </w:t>
            </w:r>
            <w:r>
              <w:t xml:space="preserve">from natural gas reheating furnaces; Scope 2 power from rolling motor drives.</w:t>
            </w:r>
          </w:p>
        </w:tc>
      </w:tr>
    </w:tbl>
    <w:p>
      <w:r>
        <w:pict>
          <v:rect style="width:0;height:1.5pt" o:hralign="center" o:hrstd="t" o:hr="t"/>
        </w:pict>
      </w:r>
    </w:p>
    <w:bookmarkEnd w:id="26"/>
    <w:bookmarkStart w:id="30" w:name="Xde7e1aa55f1646ab54030daa235fde9dc1d611d"/>
    <w:p>
      <w:pPr>
        <w:pStyle w:val="Heading1"/>
      </w:pPr>
      <w:r>
        <w:t xml:space="preserve">Step 3: Data Collection &amp; Supply Chain Logistics</w:t>
      </w:r>
    </w:p>
    <w:bookmarkStart w:id="27" w:name="X869993a81a593efa01e6e984f55a152d3e94d9c"/>
    <w:p>
      <w:pPr>
        <w:pStyle w:val="Heading2"/>
      </w:pPr>
      <w:r>
        <w:t xml:space="preserve">3.1 Primary vs. Secondary Data Quality Framework</w:t>
      </w:r>
    </w:p>
    <w:p>
      <w:pPr>
        <w:pStyle w:val="FirstParagraph"/>
      </w:pPr>
      <w:r>
        <w:t xml:space="preserve">Data collection follows the GHG Protocol Data Quality Rating (DQR) system, assessing technological, temporal, and geographical representativeness. Primary operational data represents representative European/Belgian mill operations. Secondary life cycle inventories are derived from</w:t>
      </w:r>
      <w:r>
        <w:t xml:space="preserve"> </w:t>
      </w:r>
      <w:r>
        <w:rPr>
          <w:bCs/>
          <w:b/>
        </w:rPr>
        <w:t xml:space="preserve">Ecoinvent v3.10</w:t>
      </w:r>
      <w:r>
        <w:t xml:space="preserve"> </w:t>
      </w:r>
      <w:r>
        <w:t xml:space="preserve">(Cut-off model) and the</w:t>
      </w:r>
      <w:r>
        <w:t xml:space="preserve"> </w:t>
      </w:r>
      <w:r>
        <w:rPr>
          <w:bCs/>
          <w:b/>
        </w:rPr>
        <w:t xml:space="preserve">World Steel Association 2024/2025 Life Cycle Inventory</w:t>
      </w:r>
      <w:r>
        <w:t xml:space="preserve"> </w:t>
      </w:r>
      <w:r>
        <w:t xml:space="preserve">database.</w:t>
      </w:r>
    </w:p>
    <w:bookmarkEnd w:id="27"/>
    <w:bookmarkStart w:id="28" w:name="X5cc5440a282003336c3769e4825a1585c4af99b"/>
    <w:p>
      <w:pPr>
        <w:pStyle w:val="Heading2"/>
      </w:pPr>
      <w:r>
        <w:t xml:space="preserve">3.2 Scope 3 Coverage Compliance (≥ 95% Completeness)</w:t>
      </w:r>
    </w:p>
    <w:p>
      <w:pPr>
        <w:pStyle w:val="FirstParagraph"/>
      </w:pPr>
      <w:r>
        <w:t xml:space="preserve">Under the 2026 GHG Protocol guidance, cradle-to-gate Scope 3 accounting mandates verifiable coverage of at least</w:t>
      </w:r>
      <w:r>
        <w:t xml:space="preserve"> </w:t>
      </w:r>
      <w:r>
        <w:rPr>
          <w:bCs/>
          <w:b/>
        </w:rPr>
        <w:t xml:space="preserve">95%</w:t>
      </w:r>
      <w:r>
        <w:t xml:space="preserve"> </w:t>
      </w:r>
      <w:r>
        <w:t xml:space="preserve">of both cumulative mass inputs and estimated upstream emissions. In this inventory,</w:t>
      </w:r>
      <w:r>
        <w:t xml:space="preserve"> </w:t>
      </w:r>
      <w:r>
        <w:rPr>
          <w:bCs/>
          <w:b/>
        </w:rPr>
        <w:t xml:space="preserve">99.1%</w:t>
      </w:r>
      <w:r>
        <w:t xml:space="preserve"> </w:t>
      </w:r>
      <w:r>
        <w:t xml:space="preserve">of all incoming bill-of-materials mass and</w:t>
      </w:r>
      <w:r>
        <w:t xml:space="preserve"> </w:t>
      </w:r>
      <w:r>
        <w:rPr>
          <w:bCs/>
          <w:b/>
        </w:rPr>
        <w:t xml:space="preserve">98.4%</w:t>
      </w:r>
      <w:r>
        <w:t xml:space="preserve"> </w:t>
      </w:r>
      <w:r>
        <w:t xml:space="preserve">of estimated cradle-to-gate secondary energy flows are fully characterized.</w:t>
      </w:r>
    </w:p>
    <w:bookmarkEnd w:id="28"/>
    <w:bookmarkStart w:id="29" w:name="X053f3a492a87da93b32f125cc136555e066afeb"/>
    <w:p>
      <w:pPr>
        <w:pStyle w:val="Heading2"/>
      </w:pPr>
      <w:r>
        <w:t xml:space="preserve">3.3 Supply Chain Logistics &amp; Transport Parameters</w:t>
      </w:r>
    </w:p>
    <w:p>
      <w:pPr>
        <w:pStyle w:val="FirstParagraph"/>
      </w:pPr>
      <w:r>
        <w:t xml:space="preserve">Specific logistics criteria applied to the model:</w:t>
      </w:r>
    </w:p>
    <w:p>
      <w:pPr>
        <w:numPr>
          <w:ilvl w:val="0"/>
          <w:numId w:val="1002"/>
        </w:numPr>
        <w:pStyle w:val="Compact"/>
      </w:pPr>
      <w:r>
        <w:rPr>
          <w:bCs/>
          <w:b/>
        </w:rPr>
        <w:t xml:space="preserve">Transport Mode:</w:t>
      </w:r>
      <w:r>
        <w:t xml:space="preserve"> </w:t>
      </w:r>
      <w:r>
        <w:t xml:space="preserve">Road Freight is prioritized for all continental and regional European inbound legs (limestone quarries in Wallonia, European internal scrap collection networks, regional industrial gas pipelines/trucking, and local maintenance supplies).</w:t>
      </w:r>
    </w:p>
    <w:p>
      <w:pPr>
        <w:numPr>
          <w:ilvl w:val="0"/>
          <w:numId w:val="1002"/>
        </w:numPr>
        <w:pStyle w:val="Compact"/>
      </w:pPr>
      <w:r>
        <w:rPr>
          <w:bCs/>
          <w:b/>
        </w:rPr>
        <w:t xml:space="preserve">Road Fleet Specification:</w:t>
      </w:r>
      <w:r>
        <w:t xml:space="preserve"> </w:t>
      </w:r>
      <w:r>
        <w:t xml:space="preserve">Heavy Duty Vehicles (Articulated Truck &gt;32 metric tons, Euro 6 diesel standard), utilizing an average European load factor of 61% and empty backhaul probability of 18%.</w:t>
      </w:r>
    </w:p>
    <w:p>
      <w:pPr>
        <w:numPr>
          <w:ilvl w:val="0"/>
          <w:numId w:val="1002"/>
        </w:numPr>
        <w:pStyle w:val="Compact"/>
      </w:pPr>
      <w:r>
        <w:rPr>
          <w:bCs/>
          <w:b/>
        </w:rPr>
        <w:t xml:space="preserve">Transport Parameters:</w:t>
      </w:r>
      <w:r>
        <w:t xml:space="preserve"> </w:t>
      </w:r>
      <w:r>
        <w:t xml:space="preserve">Transport: Road | Distance: N/A (Standardized European regional catchment model of 180 km average weighted distance for continental raw materials) | Delivery: N/A (Factory gate receipt).</w:t>
      </w:r>
    </w:p>
    <w:p>
      <w:pPr>
        <w:numPr>
          <w:ilvl w:val="0"/>
          <w:numId w:val="1002"/>
        </w:numPr>
        <w:pStyle w:val="Compact"/>
      </w:pPr>
      <w:r>
        <w:rPr>
          <w:bCs/>
          <w:b/>
        </w:rPr>
        <w:t xml:space="preserve">Transoceanic Leg:</w:t>
      </w:r>
      <w:r>
        <w:t xml:space="preserve"> </w:t>
      </w:r>
      <w:r>
        <w:t xml:space="preserve">Capesize bulk marine carriers are incorporated for overseas iron ore (Brazil) and metallurgical coal (North America/Australia) delivered to deep-water berths in Antwerp/Ghent before short-haul transfer.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Input Material / Energy Stream</w:t>
            </w:r>
          </w:p>
        </w:tc>
        <w:tc>
          <w:tcPr/>
          <w:p>
            <w:pPr>
              <w:pStyle w:val="Compact"/>
              <w:jc w:val="left"/>
            </w:pPr>
            <w:r>
              <w:t xml:space="preserve">Data Type</w:t>
            </w:r>
          </w:p>
        </w:tc>
        <w:tc>
          <w:tcPr/>
          <w:p>
            <w:pPr>
              <w:pStyle w:val="Compact"/>
              <w:jc w:val="left"/>
            </w:pPr>
            <w:r>
              <w:t xml:space="preserve">Source / Reference</w:t>
            </w:r>
          </w:p>
        </w:tc>
        <w:tc>
          <w:tcPr/>
          <w:p>
            <w:pPr>
              <w:pStyle w:val="Compact"/>
              <w:jc w:val="left"/>
            </w:pPr>
            <w:r>
              <w:t xml:space="preserve">Transport Leg Mode</w:t>
            </w:r>
          </w:p>
        </w:tc>
        <w:tc>
          <w:tcPr/>
          <w:p>
            <w:pPr>
              <w:pStyle w:val="Compact"/>
              <w:jc w:val="left"/>
            </w:pPr>
            <w:r>
              <w:t xml:space="preserve">Data Quality Score</w:t>
            </w:r>
          </w:p>
        </w:tc>
      </w:tr>
      <w:tr>
        <w:tc>
          <w:tcPr/>
          <w:p>
            <w:pPr>
              <w:pStyle w:val="Compact"/>
              <w:jc w:val="left"/>
            </w:pPr>
            <w:r>
              <w:t xml:space="preserve">Iron Ore Concentrate / Pellets</w:t>
            </w:r>
          </w:p>
        </w:tc>
        <w:tc>
          <w:tcPr/>
          <w:p>
            <w:pPr>
              <w:pStyle w:val="Compact"/>
              <w:jc w:val="left"/>
            </w:pPr>
            <w:r>
              <w:t xml:space="preserve">Secondary / Primary Blend</w:t>
            </w:r>
          </w:p>
        </w:tc>
        <w:tc>
          <w:tcPr/>
          <w:p>
            <w:pPr>
              <w:pStyle w:val="Compact"/>
              <w:jc w:val="left"/>
            </w:pPr>
            <w:r>
              <w:t xml:space="preserve">Ecoinvent 3.10 / WorldSteel</w:t>
            </w:r>
          </w:p>
        </w:tc>
        <w:tc>
          <w:tcPr/>
          <w:p>
            <w:pPr>
              <w:pStyle w:val="Compact"/>
              <w:jc w:val="left"/>
            </w:pPr>
            <w:r>
              <w:t xml:space="preserve">Ocean Bulk + Road Feeder</w:t>
            </w:r>
          </w:p>
        </w:tc>
        <w:tc>
          <w:tcPr/>
          <w:p>
            <w:pPr>
              <w:pStyle w:val="Compact"/>
              <w:jc w:val="left"/>
            </w:pPr>
            <w:r>
              <w:t xml:space="preserve">Tier 1 (High)</w:t>
            </w:r>
          </w:p>
        </w:tc>
      </w:tr>
      <w:tr>
        <w:tc>
          <w:tcPr/>
          <w:p>
            <w:pPr>
              <w:pStyle w:val="Compact"/>
              <w:jc w:val="left"/>
            </w:pPr>
            <w:r>
              <w:t xml:space="preserve">Metallurgical Coking Coal</w:t>
            </w:r>
          </w:p>
        </w:tc>
        <w:tc>
          <w:tcPr/>
          <w:p>
            <w:pPr>
              <w:pStyle w:val="Compact"/>
              <w:jc w:val="left"/>
            </w:pPr>
            <w:r>
              <w:t xml:space="preserve">Secondary</w:t>
            </w:r>
          </w:p>
        </w:tc>
        <w:tc>
          <w:tcPr/>
          <w:p>
            <w:pPr>
              <w:pStyle w:val="Compact"/>
              <w:jc w:val="left"/>
            </w:pPr>
            <w:r>
              <w:t xml:space="preserve">Ecoinvent 3.10 / IEA</w:t>
            </w:r>
          </w:p>
        </w:tc>
        <w:tc>
          <w:tcPr/>
          <w:p>
            <w:pPr>
              <w:pStyle w:val="Compact"/>
              <w:jc w:val="left"/>
            </w:pPr>
            <w:r>
              <w:t xml:space="preserve">Ocean Bulk + Road/Conveyor</w:t>
            </w:r>
          </w:p>
        </w:tc>
        <w:tc>
          <w:tcPr/>
          <w:p>
            <w:pPr>
              <w:pStyle w:val="Compact"/>
              <w:jc w:val="left"/>
            </w:pPr>
            <w:r>
              <w:t xml:space="preserve">Tier 1 (High)</w:t>
            </w:r>
          </w:p>
        </w:tc>
      </w:tr>
      <w:tr>
        <w:tc>
          <w:tcPr/>
          <w:p>
            <w:pPr>
              <w:pStyle w:val="Compact"/>
              <w:jc w:val="left"/>
            </w:pPr>
            <w:r>
              <w:t xml:space="preserve">Limestone, Dolomite &amp; Quicklime</w:t>
            </w:r>
          </w:p>
        </w:tc>
        <w:tc>
          <w:tcPr/>
          <w:p>
            <w:pPr>
              <w:pStyle w:val="Compact"/>
              <w:jc w:val="left"/>
            </w:pPr>
            <w:r>
              <w:t xml:space="preserve">Primary Average</w:t>
            </w:r>
          </w:p>
        </w:tc>
        <w:tc>
          <w:tcPr/>
          <w:p>
            <w:pPr>
              <w:pStyle w:val="Compact"/>
              <w:jc w:val="left"/>
            </w:pPr>
            <w:r>
              <w:t xml:space="preserve">Belgian Quarry Registry / Fediex</w:t>
            </w:r>
          </w:p>
        </w:tc>
        <w:tc>
          <w:tcPr/>
          <w:p>
            <w:pPr>
              <w:pStyle w:val="Compact"/>
              <w:jc w:val="left"/>
            </w:pPr>
            <w:r>
              <w:t xml:space="preserve">Road (Heavy Truck &gt;32t)</w:t>
            </w:r>
          </w:p>
        </w:tc>
        <w:tc>
          <w:tcPr/>
          <w:p>
            <w:pPr>
              <w:pStyle w:val="Compact"/>
              <w:jc w:val="left"/>
            </w:pPr>
            <w:r>
              <w:t xml:space="preserve">Tier 1 (Very High)</w:t>
            </w:r>
          </w:p>
        </w:tc>
      </w:tr>
      <w:tr>
        <w:tc>
          <w:tcPr/>
          <w:p>
            <w:pPr>
              <w:pStyle w:val="Compact"/>
              <w:jc w:val="left"/>
            </w:pPr>
            <w:r>
              <w:t xml:space="preserve">Ferroalloys (FeMn, FeSi)</w:t>
            </w:r>
          </w:p>
        </w:tc>
        <w:tc>
          <w:tcPr/>
          <w:p>
            <w:pPr>
              <w:pStyle w:val="Compact"/>
              <w:jc w:val="left"/>
            </w:pPr>
            <w:r>
              <w:t xml:space="preserve">Secondary</w:t>
            </w:r>
          </w:p>
        </w:tc>
        <w:tc>
          <w:tcPr/>
          <w:p>
            <w:pPr>
              <w:pStyle w:val="Compact"/>
              <w:jc w:val="left"/>
            </w:pPr>
            <w:r>
              <w:t xml:space="preserve">Ecoinvent 3.10</w:t>
            </w:r>
          </w:p>
        </w:tc>
        <w:tc>
          <w:tcPr/>
          <w:p>
            <w:pPr>
              <w:pStyle w:val="Compact"/>
              <w:jc w:val="left"/>
            </w:pPr>
            <w:r>
              <w:t xml:space="preserve">Road Freight (Euro 6)</w:t>
            </w:r>
          </w:p>
        </w:tc>
        <w:tc>
          <w:tcPr/>
          <w:p>
            <w:pPr>
              <w:pStyle w:val="Compact"/>
              <w:jc w:val="left"/>
            </w:pPr>
            <w:r>
              <w:t xml:space="preserve">Tier 2 (Good)</w:t>
            </w:r>
          </w:p>
        </w:tc>
      </w:tr>
      <w:tr>
        <w:tc>
          <w:tcPr/>
          <w:p>
            <w:pPr>
              <w:pStyle w:val="Compact"/>
              <w:jc w:val="left"/>
            </w:pPr>
            <w:r>
              <w:t xml:space="preserve">External Scrap (Pre-consumer)</w:t>
            </w:r>
          </w:p>
        </w:tc>
        <w:tc>
          <w:tcPr/>
          <w:p>
            <w:pPr>
              <w:pStyle w:val="Compact"/>
              <w:jc w:val="left"/>
            </w:pPr>
            <w:r>
              <w:t xml:space="preserve">Secondary Allocation</w:t>
            </w:r>
          </w:p>
        </w:tc>
        <w:tc>
          <w:tcPr/>
          <w:p>
            <w:pPr>
              <w:pStyle w:val="Compact"/>
              <w:jc w:val="left"/>
            </w:pPr>
            <w:r>
              <w:t xml:space="preserve">WorldSteel Scrap Cut-off Model</w:t>
            </w:r>
          </w:p>
        </w:tc>
        <w:tc>
          <w:tcPr/>
          <w:p>
            <w:pPr>
              <w:pStyle w:val="Compact"/>
              <w:jc w:val="left"/>
            </w:pPr>
            <w:r>
              <w:t xml:space="preserve">Road Freight (&lt;200 km)</w:t>
            </w:r>
          </w:p>
        </w:tc>
        <w:tc>
          <w:tcPr/>
          <w:p>
            <w:pPr>
              <w:pStyle w:val="Compact"/>
              <w:jc w:val="left"/>
            </w:pPr>
            <w:r>
              <w:t xml:space="preserve">Tier 1 (High)</w:t>
            </w:r>
          </w:p>
        </w:tc>
      </w:tr>
      <w:tr>
        <w:tc>
          <w:tcPr/>
          <w:p>
            <w:pPr>
              <w:pStyle w:val="Compact"/>
              <w:jc w:val="left"/>
            </w:pPr>
            <w:r>
              <w:t xml:space="preserve">Electricity Grid Consumption</w:t>
            </w:r>
          </w:p>
        </w:tc>
        <w:tc>
          <w:tcPr/>
          <w:p>
            <w:pPr>
              <w:pStyle w:val="Compact"/>
              <w:jc w:val="left"/>
            </w:pPr>
            <w:r>
              <w:t xml:space="preserve">Specific National Mix</w:t>
            </w:r>
          </w:p>
        </w:tc>
        <w:tc>
          <w:tcPr/>
          <w:p>
            <w:pPr>
              <w:pStyle w:val="Compact"/>
              <w:jc w:val="left"/>
            </w:pPr>
            <w:r>
              <w:t xml:space="preserve">Elia / IEA Belgium National Mix</w:t>
            </w:r>
          </w:p>
        </w:tc>
        <w:tc>
          <w:tcPr/>
          <w:p>
            <w:pPr>
              <w:pStyle w:val="Compact"/>
              <w:jc w:val="left"/>
            </w:pPr>
            <w:r>
              <w:t xml:space="preserve">High-Voltage Transmission</w:t>
            </w:r>
          </w:p>
        </w:tc>
        <w:tc>
          <w:tcPr/>
          <w:p>
            <w:pPr>
              <w:pStyle w:val="Compact"/>
              <w:jc w:val="left"/>
            </w:pPr>
            <w:r>
              <w:t xml:space="preserve">Tier 1 (Very High)</w:t>
            </w:r>
          </w:p>
        </w:tc>
      </w:tr>
      <w:tr>
        <w:tc>
          <w:tcPr/>
          <w:p>
            <w:pPr>
              <w:pStyle w:val="Compact"/>
              <w:jc w:val="left"/>
            </w:pPr>
            <w:r>
              <w:t xml:space="preserve">Industrial Natural Gas</w:t>
            </w:r>
          </w:p>
        </w:tc>
        <w:tc>
          <w:tcPr/>
          <w:p>
            <w:pPr>
              <w:pStyle w:val="Compact"/>
              <w:jc w:val="left"/>
            </w:pPr>
            <w:r>
              <w:t xml:space="preserve">Secondary</w:t>
            </w:r>
          </w:p>
        </w:tc>
        <w:tc>
          <w:tcPr/>
          <w:p>
            <w:pPr>
              <w:pStyle w:val="Compact"/>
              <w:jc w:val="left"/>
            </w:pPr>
            <w:r>
              <w:t xml:space="preserve">DEFRA 2025 / Ecoinvent 3.10</w:t>
            </w:r>
          </w:p>
        </w:tc>
        <w:tc>
          <w:tcPr/>
          <w:p>
            <w:pPr>
              <w:pStyle w:val="Compact"/>
              <w:jc w:val="left"/>
            </w:pPr>
            <w:r>
              <w:t xml:space="preserve">Pipeline Grid</w:t>
            </w:r>
          </w:p>
        </w:tc>
        <w:tc>
          <w:tcPr/>
          <w:p>
            <w:pPr>
              <w:pStyle w:val="Compact"/>
              <w:jc w:val="left"/>
            </w:pPr>
            <w:r>
              <w:t xml:space="preserve">Tier 1 (High)</w:t>
            </w:r>
          </w:p>
        </w:tc>
      </w:tr>
      <w:tr>
        <w:tc>
          <w:tcPr/>
          <w:p>
            <w:pPr>
              <w:pStyle w:val="Compact"/>
              <w:jc w:val="left"/>
            </w:pPr>
            <w:r>
              <w:t xml:space="preserve">Industrial Gases (O</w:t>
            </w:r>
            <w:r>
              <w:rPr>
                <w:vertAlign w:val="subscript"/>
              </w:rPr>
              <w:t xml:space="preserve">2</w:t>
            </w:r>
            <w:r>
              <w:t xml:space="preserve">, N</w:t>
            </w:r>
            <w:r>
              <w:rPr>
                <w:vertAlign w:val="subscript"/>
              </w:rPr>
              <w:t xml:space="preserve">2</w:t>
            </w:r>
            <w:r>
              <w:t xml:space="preserve">, Ar)</w:t>
            </w:r>
          </w:p>
        </w:tc>
        <w:tc>
          <w:tcPr/>
          <w:p>
            <w:pPr>
              <w:pStyle w:val="Compact"/>
              <w:jc w:val="left"/>
            </w:pPr>
            <w:r>
              <w:t xml:space="preserve">Secondary</w:t>
            </w:r>
          </w:p>
        </w:tc>
        <w:tc>
          <w:tcPr/>
          <w:p>
            <w:pPr>
              <w:pStyle w:val="Compact"/>
              <w:jc w:val="left"/>
            </w:pPr>
            <w:r>
              <w:t xml:space="preserve">Air Liquide / Ecoinvent 3.10</w:t>
            </w:r>
          </w:p>
        </w:tc>
        <w:tc>
          <w:tcPr/>
          <w:p>
            <w:pPr>
              <w:pStyle w:val="Compact"/>
              <w:jc w:val="left"/>
            </w:pPr>
            <w:r>
              <w:t xml:space="preserve">Pipeline / Road Tanker</w:t>
            </w:r>
          </w:p>
        </w:tc>
        <w:tc>
          <w:tcPr/>
          <w:p>
            <w:pPr>
              <w:pStyle w:val="Compact"/>
              <w:jc w:val="left"/>
            </w:pPr>
            <w:r>
              <w:t xml:space="preserve">Tier 2 (Good)</w:t>
            </w:r>
          </w:p>
        </w:tc>
      </w:tr>
    </w:tbl>
    <w:p>
      <w:r>
        <w:pict>
          <v:rect style="width:0;height:1.5pt" o:hralign="center" o:hrstd="t" o:hr="t"/>
        </w:pict>
      </w:r>
    </w:p>
    <w:bookmarkEnd w:id="29"/>
    <w:bookmarkEnd w:id="30"/>
    <w:bookmarkStart w:id="33" w:name="X4561f1ce53c93422b1415a545cb273383730ec9"/>
    <w:p>
      <w:pPr>
        <w:pStyle w:val="Heading1"/>
      </w:pPr>
      <w:r>
        <w:t xml:space="preserve">Step 4: Carbon Footprint Calculations &amp; Inventory Breakdown</w:t>
      </w:r>
    </w:p>
    <w:bookmarkStart w:id="31" w:name="mathematical-methodology"/>
    <w:p>
      <w:pPr>
        <w:pStyle w:val="Heading2"/>
      </w:pPr>
      <w:r>
        <w:t xml:space="preserve">4.1 Mathematical Methodology</w:t>
      </w:r>
    </w:p>
    <w:p>
      <w:pPr>
        <w:pStyle w:val="FirstParagraph"/>
      </w:pPr>
      <w:r>
        <w:t xml:space="preserve">Greenhouse gas emissions are computed in accordance with the standard GHG Protocol formula:</w:t>
      </w:r>
    </w:p>
    <w:p>
      <w:pPr>
        <w:pStyle w:val="BodyText"/>
      </w:pPr>
      <w:r>
        <w:rPr>
          <w:bCs/>
          <w:b/>
        </w:rPr>
        <w:t xml:space="preserve">Emissions (kg CO</w:t>
      </w:r>
      <w:r>
        <w:rPr>
          <w:vertAlign w:val="subscript"/>
          <w:bCs/>
          <w:b/>
        </w:rPr>
        <w:t xml:space="preserve">2</w:t>
      </w:r>
      <w:r>
        <w:rPr>
          <w:bCs/>
          <w:b/>
        </w:rPr>
        <w:t xml:space="preserve">e) = Activity Rate (Quantity / FU) × Specific Emission Factor (kg CO</w:t>
      </w:r>
      <w:r>
        <w:rPr>
          <w:vertAlign w:val="subscript"/>
          <w:bCs/>
          <w:b/>
        </w:rPr>
        <w:t xml:space="preserve">2</w:t>
      </w:r>
      <w:r>
        <w:rPr>
          <w:bCs/>
          <w:b/>
        </w:rPr>
        <w:t xml:space="preserve">e / unit)</w:t>
      </w:r>
      <w:r>
        <w:br/>
      </w:r>
      <w:r>
        <w:t xml:space="preserve">Global Warming Potentials (GWPs) are sourced from the</w:t>
      </w:r>
      <w:r>
        <w:t xml:space="preserve"> </w:t>
      </w:r>
      <w:r>
        <w:rPr>
          <w:bCs/>
          <w:b/>
        </w:rPr>
        <w:t xml:space="preserve">IPCC 6th Assessment Report (AR6)</w:t>
      </w:r>
      <w:r>
        <w:t xml:space="preserve"> </w:t>
      </w:r>
      <w:r>
        <w:t xml:space="preserve">based on a 100-year time horizon (GWP</w:t>
      </w:r>
      <w:r>
        <w:rPr>
          <w:vertAlign w:val="subscript"/>
        </w:rPr>
        <w:t xml:space="preserve">100</w:t>
      </w:r>
      <w:r>
        <w:t xml:space="preserve">: CO</w:t>
      </w:r>
      <w:r>
        <w:rPr>
          <w:vertAlign w:val="subscript"/>
        </w:rPr>
        <w:t xml:space="preserve">2</w:t>
      </w:r>
      <w:r>
        <w:t xml:space="preserve"> </w:t>
      </w:r>
      <w:r>
        <w:t xml:space="preserve">= 1.0, CH</w:t>
      </w:r>
      <w:r>
        <w:rPr>
          <w:vertAlign w:val="subscript"/>
        </w:rPr>
        <w:t xml:space="preserve">4</w:t>
      </w:r>
      <w:r>
        <w:t xml:space="preserve"> </w:t>
      </w:r>
      <w:r>
        <w:t xml:space="preserve">= 27.9, N</w:t>
      </w:r>
      <w:r>
        <w:rPr>
          <w:vertAlign w:val="subscript"/>
        </w:rPr>
        <w:t xml:space="preserve">2</w:t>
      </w:r>
      <w:r>
        <w:t xml:space="preserve">O = 273.0).</w:t>
      </w:r>
    </w:p>
    <w:bookmarkEnd w:id="31"/>
    <w:bookmarkStart w:id="32" w:name="X66aa54c808e5a9bb0ef3d73d3e435235ed2a298"/>
    <w:p>
      <w:pPr>
        <w:pStyle w:val="Heading2"/>
      </w:pPr>
      <w:r>
        <w:t xml:space="preserve">4.2 Comprehensive Inventory Emission Calculations (Per 1.0 kg Steel)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Process / Material Stream</w:t>
            </w:r>
          </w:p>
        </w:tc>
        <w:tc>
          <w:tcPr/>
          <w:p>
            <w:pPr>
              <w:pStyle w:val="Compact"/>
              <w:jc w:val="left"/>
            </w:pPr>
            <w:r>
              <w:t xml:space="preserve">Scope Category</w:t>
            </w:r>
          </w:p>
        </w:tc>
        <w:tc>
          <w:tcPr/>
          <w:p>
            <w:pPr>
              <w:pStyle w:val="Compact"/>
              <w:jc w:val="left"/>
            </w:pPr>
            <w:r>
              <w:t xml:space="preserve">Activity Value</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EF Reference</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 Total</w:t>
            </w:r>
          </w:p>
        </w:tc>
      </w:tr>
      <w:tr>
        <w:tc>
          <w:tcPr>
            <w:gridSpan w:val="8"/>
          </w:tcPr>
          <w:p>
            <w:pPr>
              <w:pStyle w:val="Compact"/>
              <w:jc w:val="left"/>
            </w:pPr>
            <w:r>
              <w:t xml:space="preserve">SCOPE 1: Direct Facility Emissions</w:t>
            </w:r>
          </w:p>
        </w:tc>
      </w:tr>
      <w:tr>
        <w:tc>
          <w:tcPr/>
          <w:p>
            <w:pPr>
              <w:pStyle w:val="Compact"/>
              <w:jc w:val="left"/>
            </w:pPr>
            <w:r>
              <w:t xml:space="preserve">Coking &amp; Sintering Carbon Oxidation</w:t>
            </w:r>
          </w:p>
        </w:tc>
        <w:tc>
          <w:tcPr/>
          <w:p>
            <w:pPr>
              <w:pStyle w:val="Compact"/>
              <w:jc w:val="left"/>
            </w:pPr>
            <w:r>
              <w:t xml:space="preserve">Scope 1</w:t>
            </w:r>
          </w:p>
        </w:tc>
        <w:tc>
          <w:tcPr/>
          <w:p>
            <w:pPr>
              <w:pStyle w:val="Compact"/>
              <w:jc w:val="left"/>
            </w:pPr>
            <w:r>
              <w:t xml:space="preserve">0.145</w:t>
            </w:r>
          </w:p>
        </w:tc>
        <w:tc>
          <w:tcPr/>
          <w:p>
            <w:pPr>
              <w:pStyle w:val="Compact"/>
              <w:jc w:val="left"/>
            </w:pPr>
            <w:r>
              <w:t xml:space="preserve">kg C equivalent</w:t>
            </w:r>
          </w:p>
        </w:tc>
        <w:tc>
          <w:tcPr/>
          <w:p>
            <w:pPr>
              <w:pStyle w:val="Compact"/>
              <w:jc w:val="left"/>
            </w:pPr>
            <w:r>
              <w:t xml:space="preserve">3.664 kg CO</w:t>
            </w:r>
            <w:r>
              <w:rPr>
                <w:vertAlign w:val="subscript"/>
              </w:rPr>
              <w:t xml:space="preserve">2</w:t>
            </w:r>
            <w:r>
              <w:t xml:space="preserve">/kg C</w:t>
            </w:r>
          </w:p>
        </w:tc>
        <w:tc>
          <w:tcPr/>
          <w:p>
            <w:pPr>
              <w:pStyle w:val="Compact"/>
              <w:jc w:val="left"/>
            </w:pPr>
            <w:r>
              <w:t xml:space="preserve">IPCC / Facility Mass Balance</w:t>
            </w:r>
          </w:p>
        </w:tc>
        <w:tc>
          <w:tcPr/>
          <w:p>
            <w:pPr>
              <w:pStyle w:val="Compact"/>
              <w:jc w:val="left"/>
            </w:pPr>
            <w:r>
              <w:t xml:space="preserve">0.5313</w:t>
            </w:r>
          </w:p>
        </w:tc>
        <w:tc>
          <w:tcPr/>
          <w:p>
            <w:pPr>
              <w:pStyle w:val="Compact"/>
              <w:jc w:val="left"/>
            </w:pPr>
            <w:r>
              <w:t xml:space="preserve">28.44%</w:t>
            </w:r>
          </w:p>
        </w:tc>
      </w:tr>
      <w:tr>
        <w:tc>
          <w:tcPr/>
          <w:p>
            <w:pPr>
              <w:pStyle w:val="Compact"/>
              <w:jc w:val="left"/>
            </w:pPr>
            <w:r>
              <w:t xml:space="preserve">Blast Furnace Iron Ore Reduction</w:t>
            </w:r>
          </w:p>
        </w:tc>
        <w:tc>
          <w:tcPr/>
          <w:p>
            <w:pPr>
              <w:pStyle w:val="Compact"/>
              <w:jc w:val="left"/>
            </w:pPr>
            <w:r>
              <w:t xml:space="preserve">Scope 1</w:t>
            </w:r>
          </w:p>
        </w:tc>
        <w:tc>
          <w:tcPr/>
          <w:p>
            <w:pPr>
              <w:pStyle w:val="Compact"/>
              <w:jc w:val="left"/>
            </w:pPr>
            <w:r>
              <w:t xml:space="preserve">0.138</w:t>
            </w:r>
          </w:p>
        </w:tc>
        <w:tc>
          <w:tcPr/>
          <w:p>
            <w:pPr>
              <w:pStyle w:val="Compact"/>
              <w:jc w:val="left"/>
            </w:pPr>
            <w:r>
              <w:t xml:space="preserve">kg C oxidized</w:t>
            </w:r>
          </w:p>
        </w:tc>
        <w:tc>
          <w:tcPr/>
          <w:p>
            <w:pPr>
              <w:pStyle w:val="Compact"/>
              <w:jc w:val="left"/>
            </w:pPr>
            <w:r>
              <w:t xml:space="preserve">3.664 kg CO</w:t>
            </w:r>
            <w:r>
              <w:rPr>
                <w:vertAlign w:val="subscript"/>
              </w:rPr>
              <w:t xml:space="preserve">2</w:t>
            </w:r>
            <w:r>
              <w:t xml:space="preserve">/kg C</w:t>
            </w:r>
          </w:p>
        </w:tc>
        <w:tc>
          <w:tcPr/>
          <w:p>
            <w:pPr>
              <w:pStyle w:val="Compact"/>
              <w:jc w:val="left"/>
            </w:pPr>
            <w:r>
              <w:t xml:space="preserve">Stoichiometric Fe Reduction</w:t>
            </w:r>
          </w:p>
        </w:tc>
        <w:tc>
          <w:tcPr/>
          <w:p>
            <w:pPr>
              <w:pStyle w:val="Compact"/>
              <w:jc w:val="left"/>
            </w:pPr>
            <w:r>
              <w:t xml:space="preserve">0.5056</w:t>
            </w:r>
          </w:p>
        </w:tc>
        <w:tc>
          <w:tcPr/>
          <w:p>
            <w:pPr>
              <w:pStyle w:val="Compact"/>
              <w:jc w:val="left"/>
            </w:pPr>
            <w:r>
              <w:t xml:space="preserve">27.07%</w:t>
            </w:r>
          </w:p>
        </w:tc>
      </w:tr>
      <w:tr>
        <w:tc>
          <w:tcPr/>
          <w:p>
            <w:pPr>
              <w:pStyle w:val="Compact"/>
              <w:jc w:val="left"/>
            </w:pPr>
            <w:r>
              <w:t xml:space="preserve">BOF Decarburization of Liquid Iron</w:t>
            </w:r>
          </w:p>
        </w:tc>
        <w:tc>
          <w:tcPr/>
          <w:p>
            <w:pPr>
              <w:pStyle w:val="Compact"/>
              <w:jc w:val="left"/>
            </w:pPr>
            <w:r>
              <w:t xml:space="preserve">Scope 1</w:t>
            </w:r>
          </w:p>
        </w:tc>
        <w:tc>
          <w:tcPr/>
          <w:p>
            <w:pPr>
              <w:pStyle w:val="Compact"/>
              <w:jc w:val="left"/>
            </w:pPr>
            <w:r>
              <w:t xml:space="preserve">0.022</w:t>
            </w:r>
          </w:p>
        </w:tc>
        <w:tc>
          <w:tcPr/>
          <w:p>
            <w:pPr>
              <w:pStyle w:val="Compact"/>
              <w:jc w:val="left"/>
            </w:pPr>
            <w:r>
              <w:t xml:space="preserve">kg C eliminated</w:t>
            </w:r>
          </w:p>
        </w:tc>
        <w:tc>
          <w:tcPr/>
          <w:p>
            <w:pPr>
              <w:pStyle w:val="Compact"/>
              <w:jc w:val="left"/>
            </w:pPr>
            <w:r>
              <w:t xml:space="preserve">3.664 kg CO</w:t>
            </w:r>
            <w:r>
              <w:rPr>
                <w:vertAlign w:val="subscript"/>
              </w:rPr>
              <w:t xml:space="preserve">2</w:t>
            </w:r>
            <w:r>
              <w:t xml:space="preserve">/kg C</w:t>
            </w:r>
          </w:p>
        </w:tc>
        <w:tc>
          <w:tcPr/>
          <w:p>
            <w:pPr>
              <w:pStyle w:val="Compact"/>
              <w:jc w:val="left"/>
            </w:pPr>
            <w:r>
              <w:t xml:space="preserve">Chemical Off-gas Monitor</w:t>
            </w:r>
          </w:p>
        </w:tc>
        <w:tc>
          <w:tcPr/>
          <w:p>
            <w:pPr>
              <w:pStyle w:val="Compact"/>
              <w:jc w:val="left"/>
            </w:pPr>
            <w:r>
              <w:t xml:space="preserve">0.0806</w:t>
            </w:r>
          </w:p>
        </w:tc>
        <w:tc>
          <w:tcPr/>
          <w:p>
            <w:pPr>
              <w:pStyle w:val="Compact"/>
              <w:jc w:val="left"/>
            </w:pPr>
            <w:r>
              <w:t xml:space="preserve">4.32%</w:t>
            </w:r>
          </w:p>
        </w:tc>
      </w:tr>
      <w:tr>
        <w:tc>
          <w:tcPr/>
          <w:p>
            <w:pPr>
              <w:pStyle w:val="Compact"/>
              <w:jc w:val="left"/>
            </w:pPr>
            <w:r>
              <w:t xml:space="preserve">Reheating Furnace Natural Gas</w:t>
            </w:r>
          </w:p>
        </w:tc>
        <w:tc>
          <w:tcPr/>
          <w:p>
            <w:pPr>
              <w:pStyle w:val="Compact"/>
              <w:jc w:val="left"/>
            </w:pPr>
            <w:r>
              <w:t xml:space="preserve">Scope 1</w:t>
            </w:r>
          </w:p>
        </w:tc>
        <w:tc>
          <w:tcPr/>
          <w:p>
            <w:pPr>
              <w:pStyle w:val="Compact"/>
              <w:jc w:val="left"/>
            </w:pPr>
            <w:r>
              <w:t xml:space="preserve">0.028</w:t>
            </w:r>
          </w:p>
        </w:tc>
        <w:tc>
          <w:tcPr/>
          <w:p>
            <w:pPr>
              <w:pStyle w:val="Compact"/>
              <w:jc w:val="left"/>
            </w:pPr>
            <w:r>
              <w:t xml:space="preserve">Nm</w:t>
            </w:r>
            <w:r>
              <w:rPr>
                <w:vertAlign w:val="superscript"/>
              </w:rPr>
              <w:t xml:space="preserve">3</w:t>
            </w:r>
          </w:p>
        </w:tc>
        <w:tc>
          <w:tcPr/>
          <w:p>
            <w:pPr>
              <w:pStyle w:val="Compact"/>
              <w:jc w:val="left"/>
            </w:pPr>
            <w:r>
              <w:t xml:space="preserve">2.012 kg CO</w:t>
            </w:r>
            <w:r>
              <w:rPr>
                <w:vertAlign w:val="subscript"/>
              </w:rPr>
              <w:t xml:space="preserve">2</w:t>
            </w:r>
            <w:r>
              <w:t xml:space="preserve">e/Nm</w:t>
            </w:r>
            <w:r>
              <w:rPr>
                <w:vertAlign w:val="superscript"/>
              </w:rPr>
              <w:t xml:space="preserve">3</w:t>
            </w:r>
          </w:p>
        </w:tc>
        <w:tc>
          <w:tcPr/>
          <w:p>
            <w:pPr>
              <w:pStyle w:val="Compact"/>
              <w:jc w:val="left"/>
            </w:pPr>
            <w:r>
              <w:t xml:space="preserve">DEFRA 2025 / Gas Combustion</w:t>
            </w:r>
          </w:p>
        </w:tc>
        <w:tc>
          <w:tcPr/>
          <w:p>
            <w:pPr>
              <w:pStyle w:val="Compact"/>
              <w:jc w:val="left"/>
            </w:pPr>
            <w:r>
              <w:t xml:space="preserve">0.0563</w:t>
            </w:r>
          </w:p>
        </w:tc>
        <w:tc>
          <w:tcPr/>
          <w:p>
            <w:pPr>
              <w:pStyle w:val="Compact"/>
              <w:jc w:val="left"/>
            </w:pPr>
            <w:r>
              <w:t xml:space="preserve">3.01%</w:t>
            </w:r>
          </w:p>
        </w:tc>
      </w:tr>
      <w:tr>
        <w:tc>
          <w:tcPr/>
          <w:p>
            <w:pPr>
              <w:pStyle w:val="Compact"/>
              <w:jc w:val="left"/>
            </w:pPr>
            <w:r>
              <w:t xml:space="preserve">Direct Flux Calcination (In-furnace)</w:t>
            </w:r>
          </w:p>
        </w:tc>
        <w:tc>
          <w:tcPr/>
          <w:p>
            <w:pPr>
              <w:pStyle w:val="Compact"/>
              <w:jc w:val="left"/>
            </w:pPr>
            <w:r>
              <w:t xml:space="preserve">Scope 1</w:t>
            </w:r>
          </w:p>
        </w:tc>
        <w:tc>
          <w:tcPr/>
          <w:p>
            <w:pPr>
              <w:pStyle w:val="Compact"/>
              <w:jc w:val="left"/>
            </w:pPr>
            <w:r>
              <w:t xml:space="preserve">0.050</w:t>
            </w:r>
          </w:p>
        </w:tc>
        <w:tc>
          <w:tcPr/>
          <w:p>
            <w:pPr>
              <w:pStyle w:val="Compact"/>
              <w:jc w:val="left"/>
            </w:pPr>
            <w:r>
              <w:t xml:space="preserve">kg CaCO</w:t>
            </w:r>
            <w:r>
              <w:rPr>
                <w:vertAlign w:val="subscript"/>
              </w:rPr>
              <w:t xml:space="preserve">3</w:t>
            </w:r>
            <w:r>
              <w:t xml:space="preserve">/MgCO</w:t>
            </w:r>
            <w:r>
              <w:rPr>
                <w:vertAlign w:val="subscript"/>
              </w:rPr>
              <w:t xml:space="preserve">3</w:t>
            </w:r>
          </w:p>
        </w:tc>
        <w:tc>
          <w:tcPr/>
          <w:p>
            <w:pPr>
              <w:pStyle w:val="Compact"/>
              <w:jc w:val="left"/>
            </w:pPr>
            <w:r>
              <w:t xml:space="preserve">0.440 kg CO</w:t>
            </w:r>
            <w:r>
              <w:rPr>
                <w:vertAlign w:val="subscript"/>
              </w:rPr>
              <w:t xml:space="preserve">2</w:t>
            </w:r>
            <w:r>
              <w:t xml:space="preserve">/kg CaCO</w:t>
            </w:r>
            <w:r>
              <w:rPr>
                <w:vertAlign w:val="subscript"/>
              </w:rPr>
              <w:t xml:space="preserve">3</w:t>
            </w:r>
          </w:p>
        </w:tc>
        <w:tc>
          <w:tcPr/>
          <w:p>
            <w:pPr>
              <w:pStyle w:val="Compact"/>
              <w:jc w:val="left"/>
            </w:pPr>
            <w:r>
              <w:t xml:space="preserve">Mineral Calcination Factor</w:t>
            </w:r>
          </w:p>
        </w:tc>
        <w:tc>
          <w:tcPr/>
          <w:p>
            <w:pPr>
              <w:pStyle w:val="Compact"/>
              <w:jc w:val="left"/>
            </w:pPr>
            <w:r>
              <w:t xml:space="preserve">0.0220</w:t>
            </w:r>
          </w:p>
        </w:tc>
        <w:tc>
          <w:tcPr/>
          <w:p>
            <w:pPr>
              <w:pStyle w:val="Compact"/>
              <w:jc w:val="left"/>
            </w:pPr>
            <w:r>
              <w:t xml:space="preserve">1.18%</w:t>
            </w:r>
          </w:p>
        </w:tc>
      </w:tr>
      <w:tr>
        <w:tc>
          <w:tcPr>
            <w:gridSpan w:val="6"/>
          </w:tcPr>
          <w:p>
            <w:pPr>
              <w:pStyle w:val="Compact"/>
              <w:jc w:val="left"/>
            </w:pPr>
            <w:r>
              <w:rPr>
                <w:bCs/>
                <w:b/>
              </w:rPr>
              <w:t xml:space="preserve">Subtotal: Scope 1 Direct Emissions</w:t>
            </w:r>
          </w:p>
        </w:tc>
        <w:tc>
          <w:tcPr/>
          <w:p>
            <w:pPr>
              <w:pStyle w:val="Compact"/>
              <w:jc w:val="left"/>
            </w:pPr>
            <w:r>
              <w:rPr>
                <w:bCs/>
                <w:b/>
              </w:rPr>
              <w:t xml:space="preserve">1.1958</w:t>
            </w:r>
          </w:p>
        </w:tc>
        <w:tc>
          <w:tcPr/>
          <w:p>
            <w:pPr>
              <w:pStyle w:val="Compact"/>
              <w:jc w:val="left"/>
            </w:pPr>
            <w:r>
              <w:rPr>
                <w:bCs/>
                <w:b/>
              </w:rPr>
              <w:t xml:space="preserve">64.03%</w:t>
            </w:r>
          </w:p>
        </w:tc>
      </w:tr>
      <w:tr>
        <w:tc>
          <w:tcPr>
            <w:gridSpan w:val="8"/>
          </w:tcPr>
          <w:p>
            <w:pPr>
              <w:pStyle w:val="Compact"/>
              <w:jc w:val="left"/>
            </w:pPr>
            <w:r>
              <w:t xml:space="preserve">SCOPE 2: Indirect Emissions from Purchased Energy</w:t>
            </w:r>
          </w:p>
        </w:tc>
      </w:tr>
      <w:tr>
        <w:tc>
          <w:tcPr/>
          <w:p>
            <w:pPr>
              <w:pStyle w:val="Compact"/>
              <w:jc w:val="left"/>
            </w:pPr>
            <w:r>
              <w:t xml:space="preserve">Purchased Electricity: Caster &amp; Mills</w:t>
            </w:r>
          </w:p>
        </w:tc>
        <w:tc>
          <w:tcPr/>
          <w:p>
            <w:pPr>
              <w:pStyle w:val="Compact"/>
              <w:jc w:val="left"/>
            </w:pPr>
            <w:r>
              <w:t xml:space="preserve">Scope 2 (Location)</w:t>
            </w:r>
          </w:p>
        </w:tc>
        <w:tc>
          <w:tcPr/>
          <w:p>
            <w:pPr>
              <w:pStyle w:val="Compact"/>
              <w:jc w:val="left"/>
            </w:pPr>
            <w:r>
              <w:t xml:space="preserve">0.290</w:t>
            </w:r>
          </w:p>
        </w:tc>
        <w:tc>
          <w:tcPr/>
          <w:p>
            <w:pPr>
              <w:pStyle w:val="Compact"/>
              <w:jc w:val="left"/>
            </w:pPr>
            <w:r>
              <w:t xml:space="preserve">kWh</w:t>
            </w:r>
          </w:p>
        </w:tc>
        <w:tc>
          <w:tcPr/>
          <w:p>
            <w:pPr>
              <w:pStyle w:val="Compact"/>
              <w:jc w:val="left"/>
            </w:pPr>
            <w:r>
              <w:t xml:space="preserve">0.1420 kg CO</w:t>
            </w:r>
            <w:r>
              <w:rPr>
                <w:vertAlign w:val="subscript"/>
              </w:rPr>
              <w:t xml:space="preserve">2</w:t>
            </w:r>
            <w:r>
              <w:t xml:space="preserve">e/kWh</w:t>
            </w:r>
          </w:p>
        </w:tc>
        <w:tc>
          <w:tcPr/>
          <w:p>
            <w:pPr>
              <w:pStyle w:val="Compact"/>
              <w:jc w:val="left"/>
            </w:pPr>
            <w:r>
              <w:t xml:space="preserve">IEA / Belgian Residual Grid</w:t>
            </w:r>
          </w:p>
        </w:tc>
        <w:tc>
          <w:tcPr/>
          <w:p>
            <w:pPr>
              <w:pStyle w:val="Compact"/>
              <w:jc w:val="left"/>
            </w:pPr>
            <w:r>
              <w:t xml:space="preserve">0.0412</w:t>
            </w:r>
          </w:p>
        </w:tc>
        <w:tc>
          <w:tcPr/>
          <w:p>
            <w:pPr>
              <w:pStyle w:val="Compact"/>
              <w:jc w:val="left"/>
            </w:pPr>
            <w:r>
              <w:t xml:space="preserve">2.21%</w:t>
            </w:r>
          </w:p>
        </w:tc>
      </w:tr>
      <w:tr>
        <w:tc>
          <w:tcPr/>
          <w:p>
            <w:pPr>
              <w:pStyle w:val="Compact"/>
              <w:jc w:val="left"/>
            </w:pPr>
            <w:r>
              <w:t xml:space="preserve">Purchased Electricity: Plant Auxiliaries</w:t>
            </w:r>
          </w:p>
        </w:tc>
        <w:tc>
          <w:tcPr/>
          <w:p>
            <w:pPr>
              <w:pStyle w:val="Compact"/>
              <w:jc w:val="left"/>
            </w:pPr>
            <w:r>
              <w:t xml:space="preserve">Scope 2 (Location)</w:t>
            </w:r>
          </w:p>
        </w:tc>
        <w:tc>
          <w:tcPr/>
          <w:p>
            <w:pPr>
              <w:pStyle w:val="Compact"/>
              <w:jc w:val="left"/>
            </w:pPr>
            <w:r>
              <w:t xml:space="preserve">0.160</w:t>
            </w:r>
          </w:p>
        </w:tc>
        <w:tc>
          <w:tcPr/>
          <w:p>
            <w:pPr>
              <w:pStyle w:val="Compact"/>
              <w:jc w:val="left"/>
            </w:pPr>
            <w:r>
              <w:t xml:space="preserve">kWh</w:t>
            </w:r>
          </w:p>
        </w:tc>
        <w:tc>
          <w:tcPr/>
          <w:p>
            <w:pPr>
              <w:pStyle w:val="Compact"/>
              <w:jc w:val="left"/>
            </w:pPr>
            <w:r>
              <w:t xml:space="preserve">0.1420 kg CO</w:t>
            </w:r>
            <w:r>
              <w:rPr>
                <w:vertAlign w:val="subscript"/>
              </w:rPr>
              <w:t xml:space="preserve">2</w:t>
            </w:r>
            <w:r>
              <w:t xml:space="preserve">e/kWh</w:t>
            </w:r>
          </w:p>
        </w:tc>
        <w:tc>
          <w:tcPr/>
          <w:p>
            <w:pPr>
              <w:pStyle w:val="Compact"/>
              <w:jc w:val="left"/>
            </w:pPr>
            <w:r>
              <w:t xml:space="preserve">Elia Belgium High-Voltage</w:t>
            </w:r>
          </w:p>
        </w:tc>
        <w:tc>
          <w:tcPr/>
          <w:p>
            <w:pPr>
              <w:pStyle w:val="Compact"/>
              <w:jc w:val="left"/>
            </w:pPr>
            <w:r>
              <w:t xml:space="preserve">0.0227</w:t>
            </w:r>
          </w:p>
        </w:tc>
        <w:tc>
          <w:tcPr/>
          <w:p>
            <w:pPr>
              <w:pStyle w:val="Compact"/>
              <w:jc w:val="left"/>
            </w:pPr>
            <w:r>
              <w:t xml:space="preserve">1.22%</w:t>
            </w:r>
          </w:p>
        </w:tc>
      </w:tr>
      <w:tr>
        <w:tc>
          <w:tcPr/>
          <w:p>
            <w:pPr>
              <w:pStyle w:val="Compact"/>
              <w:jc w:val="left"/>
            </w:pPr>
            <w:r>
              <w:t xml:space="preserve">Imported Steam &amp; Industrial Heat</w:t>
            </w:r>
          </w:p>
        </w:tc>
        <w:tc>
          <w:tcPr/>
          <w:p>
            <w:pPr>
              <w:pStyle w:val="Compact"/>
              <w:jc w:val="left"/>
            </w:pPr>
            <w:r>
              <w:t xml:space="preserve">Scope 2</w:t>
            </w:r>
          </w:p>
        </w:tc>
        <w:tc>
          <w:tcPr/>
          <w:p>
            <w:pPr>
              <w:pStyle w:val="Compact"/>
              <w:jc w:val="left"/>
            </w:pPr>
            <w:r>
              <w:t xml:space="preserve">0.110</w:t>
            </w:r>
          </w:p>
        </w:tc>
        <w:tc>
          <w:tcPr/>
          <w:p>
            <w:pPr>
              <w:pStyle w:val="Compact"/>
              <w:jc w:val="left"/>
            </w:pPr>
            <w:r>
              <w:t xml:space="preserve">MJ</w:t>
            </w:r>
          </w:p>
        </w:tc>
        <w:tc>
          <w:tcPr/>
          <w:p>
            <w:pPr>
              <w:pStyle w:val="Compact"/>
              <w:jc w:val="left"/>
            </w:pPr>
            <w:r>
              <w:t xml:space="preserve">0.0620 kg CO</w:t>
            </w:r>
            <w:r>
              <w:rPr>
                <w:vertAlign w:val="subscript"/>
              </w:rPr>
              <w:t xml:space="preserve">2</w:t>
            </w:r>
            <w:r>
              <w:t xml:space="preserve">e/MJ</w:t>
            </w:r>
          </w:p>
        </w:tc>
        <w:tc>
          <w:tcPr/>
          <w:p>
            <w:pPr>
              <w:pStyle w:val="Compact"/>
              <w:jc w:val="left"/>
            </w:pPr>
            <w:r>
              <w:t xml:space="preserve">Combined Heat &amp; Power Dist.</w:t>
            </w:r>
          </w:p>
        </w:tc>
        <w:tc>
          <w:tcPr/>
          <w:p>
            <w:pPr>
              <w:pStyle w:val="Compact"/>
              <w:jc w:val="left"/>
            </w:pPr>
            <w:r>
              <w:t xml:space="preserve">0.0068</w:t>
            </w:r>
          </w:p>
        </w:tc>
        <w:tc>
          <w:tcPr/>
          <w:p>
            <w:pPr>
              <w:pStyle w:val="Compact"/>
              <w:jc w:val="left"/>
            </w:pPr>
            <w:r>
              <w:t xml:space="preserve">0.36%</w:t>
            </w:r>
          </w:p>
        </w:tc>
      </w:tr>
      <w:tr>
        <w:tc>
          <w:tcPr>
            <w:gridSpan w:val="6"/>
          </w:tcPr>
          <w:p>
            <w:pPr>
              <w:pStyle w:val="Compact"/>
              <w:jc w:val="left"/>
            </w:pPr>
            <w:r>
              <w:rPr>
                <w:bCs/>
                <w:b/>
              </w:rPr>
              <w:t xml:space="preserve">Subtotal: Scope 2 Indirect Emissions</w:t>
            </w:r>
          </w:p>
        </w:tc>
        <w:tc>
          <w:tcPr/>
          <w:p>
            <w:pPr>
              <w:pStyle w:val="Compact"/>
              <w:jc w:val="left"/>
            </w:pPr>
            <w:r>
              <w:rPr>
                <w:bCs/>
                <w:b/>
              </w:rPr>
              <w:t xml:space="preserve">0.0707</w:t>
            </w:r>
          </w:p>
        </w:tc>
        <w:tc>
          <w:tcPr/>
          <w:p>
            <w:pPr>
              <w:pStyle w:val="Compact"/>
              <w:jc w:val="left"/>
            </w:pPr>
            <w:r>
              <w:rPr>
                <w:bCs/>
                <w:b/>
              </w:rPr>
              <w:t xml:space="preserve">3.80%</w:t>
            </w:r>
          </w:p>
        </w:tc>
      </w:tr>
      <w:tr>
        <w:tc>
          <w:tcPr>
            <w:gridSpan w:val="8"/>
          </w:tcPr>
          <w:p>
            <w:pPr>
              <w:pStyle w:val="Compact"/>
              <w:jc w:val="left"/>
            </w:pPr>
            <w:r>
              <w:t xml:space="preserve">SCOPE 3: Upstream Value Chain Emissions</w:t>
            </w:r>
          </w:p>
        </w:tc>
      </w:tr>
      <w:tr>
        <w:tc>
          <w:tcPr/>
          <w:p>
            <w:pPr>
              <w:pStyle w:val="Compact"/>
              <w:jc w:val="left"/>
            </w:pPr>
            <w:r>
              <w:t xml:space="preserve">Iron Ore Extraction &amp; Beneficiation</w:t>
            </w:r>
          </w:p>
        </w:tc>
        <w:tc>
          <w:tcPr/>
          <w:p>
            <w:pPr>
              <w:pStyle w:val="Compact"/>
              <w:jc w:val="left"/>
            </w:pPr>
            <w:r>
              <w:t xml:space="preserve">Scope 3 (Cat. 1)</w:t>
            </w:r>
          </w:p>
        </w:tc>
        <w:tc>
          <w:tcPr/>
          <w:p>
            <w:pPr>
              <w:pStyle w:val="Compact"/>
              <w:jc w:val="left"/>
            </w:pPr>
            <w:r>
              <w:t xml:space="preserve">1.430</w:t>
            </w:r>
          </w:p>
        </w:tc>
        <w:tc>
          <w:tcPr/>
          <w:p>
            <w:pPr>
              <w:pStyle w:val="Compact"/>
              <w:jc w:val="left"/>
            </w:pPr>
            <w:r>
              <w:t xml:space="preserve">kg gross ore</w:t>
            </w:r>
          </w:p>
        </w:tc>
        <w:tc>
          <w:tcPr/>
          <w:p>
            <w:pPr>
              <w:pStyle w:val="Compact"/>
              <w:jc w:val="left"/>
            </w:pPr>
            <w:r>
              <w:t xml:space="preserve">0.1780 kg CO</w:t>
            </w:r>
            <w:r>
              <w:rPr>
                <w:vertAlign w:val="subscript"/>
              </w:rPr>
              <w:t xml:space="preserve">2</w:t>
            </w:r>
            <w:r>
              <w:t xml:space="preserve">e/kg</w:t>
            </w:r>
          </w:p>
        </w:tc>
        <w:tc>
          <w:tcPr/>
          <w:p>
            <w:pPr>
              <w:pStyle w:val="Compact"/>
              <w:jc w:val="left"/>
            </w:pPr>
            <w:r>
              <w:t xml:space="preserve">Ecoinvent 3.10 (Pellets)</w:t>
            </w:r>
          </w:p>
        </w:tc>
        <w:tc>
          <w:tcPr/>
          <w:p>
            <w:pPr>
              <w:pStyle w:val="Compact"/>
              <w:jc w:val="left"/>
            </w:pPr>
            <w:r>
              <w:t xml:space="preserve">0.2545</w:t>
            </w:r>
          </w:p>
        </w:tc>
        <w:tc>
          <w:tcPr/>
          <w:p>
            <w:pPr>
              <w:pStyle w:val="Compact"/>
              <w:jc w:val="left"/>
            </w:pPr>
            <w:r>
              <w:t xml:space="preserve">13.63%</w:t>
            </w:r>
          </w:p>
        </w:tc>
      </w:tr>
      <w:tr>
        <w:tc>
          <w:tcPr/>
          <w:p>
            <w:pPr>
              <w:pStyle w:val="Compact"/>
              <w:jc w:val="left"/>
            </w:pPr>
            <w:r>
              <w:t xml:space="preserve">Coking Coal Mining &amp; Beneficiation</w:t>
            </w:r>
          </w:p>
        </w:tc>
        <w:tc>
          <w:tcPr/>
          <w:p>
            <w:pPr>
              <w:pStyle w:val="Compact"/>
              <w:jc w:val="left"/>
            </w:pPr>
            <w:r>
              <w:t xml:space="preserve">Scope 3 (Cat. 1)</w:t>
            </w:r>
          </w:p>
        </w:tc>
        <w:tc>
          <w:tcPr/>
          <w:p>
            <w:pPr>
              <w:pStyle w:val="Compact"/>
              <w:jc w:val="left"/>
            </w:pPr>
            <w:r>
              <w:t xml:space="preserve">0.420</w:t>
            </w:r>
          </w:p>
        </w:tc>
        <w:tc>
          <w:tcPr/>
          <w:p>
            <w:pPr>
              <w:pStyle w:val="Compact"/>
              <w:jc w:val="left"/>
            </w:pPr>
            <w:r>
              <w:t xml:space="preserve">kg raw coal</w:t>
            </w:r>
          </w:p>
        </w:tc>
        <w:tc>
          <w:tcPr/>
          <w:p>
            <w:pPr>
              <w:pStyle w:val="Compact"/>
              <w:jc w:val="left"/>
            </w:pPr>
            <w:r>
              <w:t xml:space="preserve">0.2950 kg CO</w:t>
            </w:r>
            <w:r>
              <w:rPr>
                <w:vertAlign w:val="subscript"/>
              </w:rPr>
              <w:t xml:space="preserve">2</w:t>
            </w:r>
            <w:r>
              <w:t xml:space="preserve">e/kg</w:t>
            </w:r>
          </w:p>
        </w:tc>
        <w:tc>
          <w:tcPr/>
          <w:p>
            <w:pPr>
              <w:pStyle w:val="Compact"/>
              <w:jc w:val="left"/>
            </w:pPr>
            <w:r>
              <w:t xml:space="preserve">Ecoinvent 3.10 (Underground)</w:t>
            </w:r>
          </w:p>
        </w:tc>
        <w:tc>
          <w:tcPr/>
          <w:p>
            <w:pPr>
              <w:pStyle w:val="Compact"/>
              <w:jc w:val="left"/>
            </w:pPr>
            <w:r>
              <w:t xml:space="preserve">0.1239</w:t>
            </w:r>
          </w:p>
        </w:tc>
        <w:tc>
          <w:tcPr/>
          <w:p>
            <w:pPr>
              <w:pStyle w:val="Compact"/>
              <w:jc w:val="left"/>
            </w:pPr>
            <w:r>
              <w:t xml:space="preserve">6.63%</w:t>
            </w:r>
          </w:p>
        </w:tc>
      </w:tr>
      <w:tr>
        <w:tc>
          <w:tcPr/>
          <w:p>
            <w:pPr>
              <w:pStyle w:val="Compact"/>
              <w:jc w:val="left"/>
            </w:pPr>
            <w:r>
              <w:t xml:space="preserve">Ferroalloys &amp; Additives (FeMn, FeSi)</w:t>
            </w:r>
          </w:p>
        </w:tc>
        <w:tc>
          <w:tcPr/>
          <w:p>
            <w:pPr>
              <w:pStyle w:val="Compact"/>
              <w:jc w:val="left"/>
            </w:pPr>
            <w:r>
              <w:t xml:space="preserve">Scope 3 (Cat. 1)</w:t>
            </w:r>
          </w:p>
        </w:tc>
        <w:tc>
          <w:tcPr/>
          <w:p>
            <w:pPr>
              <w:pStyle w:val="Compact"/>
              <w:jc w:val="left"/>
            </w:pPr>
            <w:r>
              <w:t xml:space="preserve">0.012</w:t>
            </w:r>
          </w:p>
        </w:tc>
        <w:tc>
          <w:tcPr/>
          <w:p>
            <w:pPr>
              <w:pStyle w:val="Compact"/>
              <w:jc w:val="left"/>
            </w:pPr>
            <w:r>
              <w:t xml:space="preserve">kg alloy</w:t>
            </w:r>
          </w:p>
        </w:tc>
        <w:tc>
          <w:tcPr/>
          <w:p>
            <w:pPr>
              <w:pStyle w:val="Compact"/>
              <w:jc w:val="left"/>
            </w:pPr>
            <w:r>
              <w:t xml:space="preserve">3.2400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0.0389</w:t>
            </w:r>
          </w:p>
        </w:tc>
        <w:tc>
          <w:tcPr/>
          <w:p>
            <w:pPr>
              <w:pStyle w:val="Compact"/>
              <w:jc w:val="left"/>
            </w:pPr>
            <w:r>
              <w:t xml:space="preserve">2.08%</w:t>
            </w:r>
          </w:p>
        </w:tc>
      </w:tr>
      <w:tr>
        <w:tc>
          <w:tcPr/>
          <w:p>
            <w:pPr>
              <w:pStyle w:val="Compact"/>
              <w:jc w:val="left"/>
            </w:pPr>
            <w:r>
              <w:t xml:space="preserve">External Steel Scrap Processing</w:t>
            </w:r>
          </w:p>
        </w:tc>
        <w:tc>
          <w:tcPr/>
          <w:p>
            <w:pPr>
              <w:pStyle w:val="Compact"/>
              <w:jc w:val="left"/>
            </w:pPr>
            <w:r>
              <w:t xml:space="preserve">Scope 3 (Cat. 1)</w:t>
            </w:r>
          </w:p>
        </w:tc>
        <w:tc>
          <w:tcPr/>
          <w:p>
            <w:pPr>
              <w:pStyle w:val="Compact"/>
              <w:jc w:val="left"/>
            </w:pPr>
            <w:r>
              <w:t xml:space="preserve">0.180</w:t>
            </w:r>
          </w:p>
        </w:tc>
        <w:tc>
          <w:tcPr/>
          <w:p>
            <w:pPr>
              <w:pStyle w:val="Compact"/>
              <w:jc w:val="left"/>
            </w:pPr>
            <w:r>
              <w:t xml:space="preserve">kg scrap</w:t>
            </w:r>
          </w:p>
        </w:tc>
        <w:tc>
          <w:tcPr/>
          <w:p>
            <w:pPr>
              <w:pStyle w:val="Compact"/>
              <w:jc w:val="left"/>
            </w:pPr>
            <w:r>
              <w:t xml:space="preserve">0.0520 kg CO</w:t>
            </w:r>
            <w:r>
              <w:rPr>
                <w:vertAlign w:val="subscript"/>
              </w:rPr>
              <w:t xml:space="preserve">2</w:t>
            </w:r>
            <w:r>
              <w:t xml:space="preserve">e/kg</w:t>
            </w:r>
          </w:p>
        </w:tc>
        <w:tc>
          <w:tcPr/>
          <w:p>
            <w:pPr>
              <w:pStyle w:val="Compact"/>
              <w:jc w:val="left"/>
            </w:pPr>
            <w:r>
              <w:t xml:space="preserve">WorldSteel Recycling Cut-off</w:t>
            </w:r>
          </w:p>
        </w:tc>
        <w:tc>
          <w:tcPr/>
          <w:p>
            <w:pPr>
              <w:pStyle w:val="Compact"/>
              <w:jc w:val="left"/>
            </w:pPr>
            <w:r>
              <w:t xml:space="preserve">0.0094</w:t>
            </w:r>
          </w:p>
        </w:tc>
        <w:tc>
          <w:tcPr/>
          <w:p>
            <w:pPr>
              <w:pStyle w:val="Compact"/>
              <w:jc w:val="left"/>
            </w:pPr>
            <w:r>
              <w:t xml:space="preserve">0.50%</w:t>
            </w:r>
          </w:p>
        </w:tc>
      </w:tr>
      <w:tr>
        <w:tc>
          <w:tcPr/>
          <w:p>
            <w:pPr>
              <w:pStyle w:val="Compact"/>
              <w:jc w:val="left"/>
            </w:pPr>
            <w:r>
              <w:t xml:space="preserve">Refractory Materials &amp; Electrodes</w:t>
            </w:r>
          </w:p>
        </w:tc>
        <w:tc>
          <w:tcPr/>
          <w:p>
            <w:pPr>
              <w:pStyle w:val="Compact"/>
              <w:jc w:val="left"/>
            </w:pPr>
            <w:r>
              <w:t xml:space="preserve">Scope 3 (Cat. 1)</w:t>
            </w:r>
          </w:p>
        </w:tc>
        <w:tc>
          <w:tcPr/>
          <w:p>
            <w:pPr>
              <w:pStyle w:val="Compact"/>
              <w:jc w:val="left"/>
            </w:pPr>
            <w:r>
              <w:t xml:space="preserve">0.015</w:t>
            </w:r>
          </w:p>
        </w:tc>
        <w:tc>
          <w:tcPr/>
          <w:p>
            <w:pPr>
              <w:pStyle w:val="Compact"/>
              <w:jc w:val="left"/>
            </w:pPr>
            <w:r>
              <w:t xml:space="preserve">kg</w:t>
            </w:r>
          </w:p>
        </w:tc>
        <w:tc>
          <w:tcPr/>
          <w:p>
            <w:pPr>
              <w:pStyle w:val="Compact"/>
              <w:jc w:val="left"/>
            </w:pPr>
            <w:r>
              <w:t xml:space="preserve">1.1200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0.0168</w:t>
            </w:r>
          </w:p>
        </w:tc>
        <w:tc>
          <w:tcPr/>
          <w:p>
            <w:pPr>
              <w:pStyle w:val="Compact"/>
              <w:jc w:val="left"/>
            </w:pPr>
            <w:r>
              <w:t xml:space="preserve">0.90%</w:t>
            </w:r>
          </w:p>
        </w:tc>
      </w:tr>
      <w:tr>
        <w:tc>
          <w:tcPr/>
          <w:p>
            <w:pPr>
              <w:pStyle w:val="Compact"/>
              <w:jc w:val="left"/>
            </w:pPr>
            <w:r>
              <w:t xml:space="preserve">Industrial Gas Generation (O</w:t>
            </w:r>
            <w:r>
              <w:rPr>
                <w:vertAlign w:val="subscript"/>
              </w:rPr>
              <w:t xml:space="preserve">2</w:t>
            </w:r>
            <w:r>
              <w:t xml:space="preserve">, N</w:t>
            </w:r>
            <w:r>
              <w:rPr>
                <w:vertAlign w:val="subscript"/>
              </w:rPr>
              <w:t xml:space="preserve">2</w:t>
            </w:r>
            <w:r>
              <w:t xml:space="preserve">, Ar)</w:t>
            </w:r>
          </w:p>
        </w:tc>
        <w:tc>
          <w:tcPr/>
          <w:p>
            <w:pPr>
              <w:pStyle w:val="Compact"/>
              <w:jc w:val="left"/>
            </w:pPr>
            <w:r>
              <w:t xml:space="preserve">Scope 3 (Cat. 1)</w:t>
            </w:r>
          </w:p>
        </w:tc>
        <w:tc>
          <w:tcPr/>
          <w:p>
            <w:pPr>
              <w:pStyle w:val="Compact"/>
              <w:jc w:val="left"/>
            </w:pPr>
            <w:r>
              <w:t xml:space="preserve">0.080</w:t>
            </w:r>
          </w:p>
        </w:tc>
        <w:tc>
          <w:tcPr/>
          <w:p>
            <w:pPr>
              <w:pStyle w:val="Compact"/>
              <w:jc w:val="left"/>
            </w:pPr>
            <w:r>
              <w:t xml:space="preserve">Nm</w:t>
            </w:r>
            <w:r>
              <w:rPr>
                <w:vertAlign w:val="superscript"/>
              </w:rPr>
              <w:t xml:space="preserve">3</w:t>
            </w:r>
          </w:p>
        </w:tc>
        <w:tc>
          <w:tcPr/>
          <w:p>
            <w:pPr>
              <w:pStyle w:val="Compact"/>
              <w:jc w:val="left"/>
            </w:pPr>
            <w:r>
              <w:t xml:space="preserve">0.3800 kg CO</w:t>
            </w:r>
            <w:r>
              <w:rPr>
                <w:vertAlign w:val="subscript"/>
              </w:rPr>
              <w:t xml:space="preserve">2</w:t>
            </w:r>
            <w:r>
              <w:t xml:space="preserve">e/Nm</w:t>
            </w:r>
            <w:r>
              <w:rPr>
                <w:vertAlign w:val="superscript"/>
              </w:rPr>
              <w:t xml:space="preserve">3</w:t>
            </w:r>
          </w:p>
        </w:tc>
        <w:tc>
          <w:tcPr/>
          <w:p>
            <w:pPr>
              <w:pStyle w:val="Compact"/>
              <w:jc w:val="left"/>
            </w:pPr>
            <w:r>
              <w:t xml:space="preserve">Cryogenic Separation LCI</w:t>
            </w:r>
          </w:p>
        </w:tc>
        <w:tc>
          <w:tcPr/>
          <w:p>
            <w:pPr>
              <w:pStyle w:val="Compact"/>
              <w:jc w:val="left"/>
            </w:pPr>
            <w:r>
              <w:t xml:space="preserve">0.0304</w:t>
            </w:r>
          </w:p>
        </w:tc>
        <w:tc>
          <w:tcPr/>
          <w:p>
            <w:pPr>
              <w:pStyle w:val="Compact"/>
              <w:jc w:val="left"/>
            </w:pPr>
            <w:r>
              <w:t xml:space="preserve">1.63%</w:t>
            </w:r>
          </w:p>
        </w:tc>
      </w:tr>
      <w:tr>
        <w:tc>
          <w:tcPr/>
          <w:p>
            <w:pPr>
              <w:pStyle w:val="Compact"/>
              <w:jc w:val="left"/>
            </w:pPr>
            <w:r>
              <w:t xml:space="preserve">Upstream Fuel Extraction (NG / Diesel)</w:t>
            </w:r>
          </w:p>
        </w:tc>
        <w:tc>
          <w:tcPr/>
          <w:p>
            <w:pPr>
              <w:pStyle w:val="Compact"/>
              <w:jc w:val="left"/>
            </w:pPr>
            <w:r>
              <w:t xml:space="preserve">Scope 3 (Cat. 3)</w:t>
            </w:r>
          </w:p>
        </w:tc>
        <w:tc>
          <w:tcPr/>
          <w:p>
            <w:pPr>
              <w:pStyle w:val="Compact"/>
              <w:jc w:val="left"/>
            </w:pPr>
            <w:r>
              <w:t xml:space="preserve">0.450</w:t>
            </w:r>
          </w:p>
        </w:tc>
        <w:tc>
          <w:tcPr/>
          <w:p>
            <w:pPr>
              <w:pStyle w:val="Compact"/>
              <w:jc w:val="left"/>
            </w:pPr>
            <w:r>
              <w:t xml:space="preserve">MJ</w:t>
            </w:r>
          </w:p>
        </w:tc>
        <w:tc>
          <w:tcPr/>
          <w:p>
            <w:pPr>
              <w:pStyle w:val="Compact"/>
              <w:jc w:val="left"/>
            </w:pPr>
            <w:r>
              <w:t xml:space="preserve">0.0190 kg CO</w:t>
            </w:r>
            <w:r>
              <w:rPr>
                <w:vertAlign w:val="subscript"/>
              </w:rPr>
              <w:t xml:space="preserve">2</w:t>
            </w:r>
            <w:r>
              <w:t xml:space="preserve">e/MJ</w:t>
            </w:r>
          </w:p>
        </w:tc>
        <w:tc>
          <w:tcPr/>
          <w:p>
            <w:pPr>
              <w:pStyle w:val="Compact"/>
              <w:jc w:val="left"/>
            </w:pPr>
            <w:r>
              <w:t xml:space="preserve">Well-To-Tank (WTT) DEFRA</w:t>
            </w:r>
          </w:p>
        </w:tc>
        <w:tc>
          <w:tcPr/>
          <w:p>
            <w:pPr>
              <w:pStyle w:val="Compact"/>
              <w:jc w:val="left"/>
            </w:pPr>
            <w:r>
              <w:t xml:space="preserve">0.0086</w:t>
            </w:r>
          </w:p>
        </w:tc>
        <w:tc>
          <w:tcPr/>
          <w:p>
            <w:pPr>
              <w:pStyle w:val="Compact"/>
              <w:jc w:val="left"/>
            </w:pPr>
            <w:r>
              <w:t xml:space="preserve">0.46%</w:t>
            </w:r>
          </w:p>
        </w:tc>
      </w:tr>
      <w:tr>
        <w:tc>
          <w:tcPr/>
          <w:p>
            <w:pPr>
              <w:pStyle w:val="Compact"/>
              <w:jc w:val="left"/>
            </w:pPr>
            <w:r>
              <w:t xml:space="preserve">Raw Material Road Haulage (Regional)</w:t>
            </w:r>
          </w:p>
        </w:tc>
        <w:tc>
          <w:tcPr/>
          <w:p>
            <w:pPr>
              <w:pStyle w:val="Compact"/>
              <w:jc w:val="left"/>
            </w:pPr>
            <w:r>
              <w:t xml:space="preserve">Scope 3 (Cat. 4)</w:t>
            </w:r>
          </w:p>
        </w:tc>
        <w:tc>
          <w:tcPr/>
          <w:p>
            <w:pPr>
              <w:pStyle w:val="Compact"/>
              <w:jc w:val="left"/>
            </w:pPr>
            <w:r>
              <w:t xml:space="preserve">0.310</w:t>
            </w:r>
          </w:p>
        </w:tc>
        <w:tc>
          <w:tcPr/>
          <w:p>
            <w:pPr>
              <w:pStyle w:val="Compact"/>
              <w:jc w:val="left"/>
            </w:pPr>
            <w:r>
              <w:t xml:space="preserve">tkm</w:t>
            </w:r>
          </w:p>
        </w:tc>
        <w:tc>
          <w:tcPr/>
          <w:p>
            <w:pPr>
              <w:pStyle w:val="Compact"/>
              <w:jc w:val="left"/>
            </w:pPr>
            <w:r>
              <w:t xml:space="preserve">0.0984 kg CO</w:t>
            </w:r>
            <w:r>
              <w:rPr>
                <w:vertAlign w:val="subscript"/>
              </w:rPr>
              <w:t xml:space="preserve">2</w:t>
            </w:r>
            <w:r>
              <w:t xml:space="preserve">e/tkm</w:t>
            </w:r>
          </w:p>
        </w:tc>
        <w:tc>
          <w:tcPr/>
          <w:p>
            <w:pPr>
              <w:pStyle w:val="Compact"/>
              <w:jc w:val="left"/>
            </w:pPr>
            <w:r>
              <w:t xml:space="preserve">DEFRA 2025 / Road Freight &gt;32t</w:t>
            </w:r>
          </w:p>
        </w:tc>
        <w:tc>
          <w:tcPr/>
          <w:p>
            <w:pPr>
              <w:pStyle w:val="Compact"/>
              <w:jc w:val="left"/>
            </w:pPr>
            <w:r>
              <w:t xml:space="preserve">0.0305</w:t>
            </w:r>
          </w:p>
        </w:tc>
        <w:tc>
          <w:tcPr/>
          <w:p>
            <w:pPr>
              <w:pStyle w:val="Compact"/>
              <w:jc w:val="left"/>
            </w:pPr>
            <w:r>
              <w:t xml:space="preserve">1.63%</w:t>
            </w:r>
          </w:p>
        </w:tc>
      </w:tr>
      <w:tr>
        <w:tc>
          <w:tcPr/>
          <w:p>
            <w:pPr>
              <w:pStyle w:val="Compact"/>
              <w:jc w:val="left"/>
            </w:pPr>
            <w:r>
              <w:t xml:space="preserve">Transoceanic Bulk Marine Freight</w:t>
            </w:r>
          </w:p>
        </w:tc>
        <w:tc>
          <w:tcPr/>
          <w:p>
            <w:pPr>
              <w:pStyle w:val="Compact"/>
              <w:jc w:val="left"/>
            </w:pPr>
            <w:r>
              <w:t xml:space="preserve">Scope 3 (Cat. 4)</w:t>
            </w:r>
          </w:p>
        </w:tc>
        <w:tc>
          <w:tcPr/>
          <w:p>
            <w:pPr>
              <w:pStyle w:val="Compact"/>
              <w:jc w:val="left"/>
            </w:pPr>
            <w:r>
              <w:t xml:space="preserve">6.200</w:t>
            </w:r>
          </w:p>
        </w:tc>
        <w:tc>
          <w:tcPr/>
          <w:p>
            <w:pPr>
              <w:pStyle w:val="Compact"/>
              <w:jc w:val="left"/>
            </w:pPr>
            <w:r>
              <w:t xml:space="preserve">tkm</w:t>
            </w:r>
          </w:p>
        </w:tc>
        <w:tc>
          <w:tcPr/>
          <w:p>
            <w:pPr>
              <w:pStyle w:val="Compact"/>
              <w:jc w:val="left"/>
            </w:pPr>
            <w:r>
              <w:t xml:space="preserve">0.0142 kg CO</w:t>
            </w:r>
            <w:r>
              <w:rPr>
                <w:vertAlign w:val="subscript"/>
              </w:rPr>
              <w:t xml:space="preserve">2</w:t>
            </w:r>
            <w:r>
              <w:t xml:space="preserve">e/tkm</w:t>
            </w:r>
          </w:p>
        </w:tc>
        <w:tc>
          <w:tcPr/>
          <w:p>
            <w:pPr>
              <w:pStyle w:val="Compact"/>
              <w:jc w:val="left"/>
            </w:pPr>
            <w:r>
              <w:t xml:space="preserve">IMO 4th GHG Study / Ecoinvent</w:t>
            </w:r>
          </w:p>
        </w:tc>
        <w:tc>
          <w:tcPr/>
          <w:p>
            <w:pPr>
              <w:pStyle w:val="Compact"/>
              <w:jc w:val="left"/>
            </w:pPr>
            <w:r>
              <w:t xml:space="preserve">0.0880</w:t>
            </w:r>
          </w:p>
        </w:tc>
        <w:tc>
          <w:tcPr/>
          <w:p>
            <w:pPr>
              <w:pStyle w:val="Compact"/>
              <w:jc w:val="left"/>
            </w:pPr>
            <w:r>
              <w:t xml:space="preserve">4.71%</w:t>
            </w:r>
          </w:p>
        </w:tc>
      </w:tr>
      <w:tr>
        <w:tc>
          <w:tcPr>
            <w:gridSpan w:val="6"/>
          </w:tcPr>
          <w:p>
            <w:pPr>
              <w:pStyle w:val="Compact"/>
              <w:jc w:val="left"/>
            </w:pPr>
            <w:r>
              <w:rPr>
                <w:bCs/>
                <w:b/>
              </w:rPr>
              <w:t xml:space="preserve">Subtotal: Scope 3 Value Chain Emissions</w:t>
            </w:r>
          </w:p>
        </w:tc>
        <w:tc>
          <w:tcPr/>
          <w:p>
            <w:pPr>
              <w:pStyle w:val="Compact"/>
              <w:jc w:val="left"/>
            </w:pPr>
            <w:r>
              <w:rPr>
                <w:bCs/>
                <w:b/>
              </w:rPr>
              <w:t xml:space="preserve">0.6010</w:t>
            </w:r>
          </w:p>
        </w:tc>
        <w:tc>
          <w:tcPr/>
          <w:p>
            <w:pPr>
              <w:pStyle w:val="Compact"/>
              <w:jc w:val="left"/>
            </w:pPr>
            <w:r>
              <w:rPr>
                <w:bCs/>
                <w:b/>
              </w:rPr>
              <w:t xml:space="preserve">32.17%</w:t>
            </w:r>
          </w:p>
        </w:tc>
      </w:tr>
      <w:tr>
        <w:tc>
          <w:tcPr>
            <w:gridSpan w:val="6"/>
          </w:tcPr>
          <w:p>
            <w:pPr>
              <w:pStyle w:val="Compact"/>
              <w:jc w:val="left"/>
            </w:pPr>
            <w:r>
              <w:t xml:space="preserve">TOTAL CRADLE-TO-GATE CARBON FOOTPRINT (1.0 kg Steel)</w:t>
            </w:r>
          </w:p>
        </w:tc>
        <w:tc>
          <w:tcPr/>
          <w:p>
            <w:pPr>
              <w:pStyle w:val="Compact"/>
              <w:jc w:val="left"/>
            </w:pPr>
            <w:r>
              <w:t xml:space="preserve">1.8675</w:t>
            </w:r>
          </w:p>
        </w:tc>
        <w:tc>
          <w:tcPr/>
          <w:p>
            <w:pPr>
              <w:pStyle w:val="Compact"/>
              <w:jc w:val="left"/>
            </w:pPr>
            <w:r>
              <w:t xml:space="preserve">100.00%</w:t>
            </w:r>
          </w:p>
        </w:tc>
      </w:tr>
    </w:tbl>
    <w:p>
      <w:r>
        <w:pict>
          <v:rect style="width:0;height:1.5pt" o:hralign="center" o:hrstd="t" o:hr="t"/>
        </w:pict>
      </w:r>
    </w:p>
    <w:bookmarkEnd w:id="32"/>
    <w:bookmarkEnd w:id="33"/>
    <w:bookmarkStart w:id="34" w:name="X8774f1da96a0bcf35c605e73f82ab79df99d179"/>
    <w:p>
      <w:pPr>
        <w:pStyle w:val="Heading1"/>
      </w:pPr>
      <w:r>
        <w:t xml:space="preserve">Step 5: 2026 Land Sector and Removals (LSR) Analysis</w:t>
      </w:r>
    </w:p>
    <w:p>
      <w:pPr>
        <w:pStyle w:val="FirstParagraph"/>
      </w:pPr>
      <w:r>
        <w:t xml:space="preserve">Under the</w:t>
      </w:r>
      <w:r>
        <w:t xml:space="preserve"> </w:t>
      </w:r>
      <w:r>
        <w:rPr>
          <w:bCs/>
          <w:b/>
        </w:rPr>
        <w:t xml:space="preserve">GHG Protocol 2026 Land Sector and Removals (LSR) Guidance</w:t>
      </w:r>
      <w:r>
        <w:t xml:space="preserve">, companies must transparently segregate fossil emissions from biogenic carbon cycles, report land use change (direct and statistical LUC), and apply rigorous permanence standards to any carbon removal credits.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LSR Accounting Category</w:t>
            </w:r>
          </w:p>
        </w:tc>
        <w:tc>
          <w:tcPr/>
          <w:p>
            <w:pPr>
              <w:pStyle w:val="Compact"/>
              <w:jc w:val="left"/>
            </w:pPr>
            <w:r>
              <w:t xml:space="preserve">Value per 1.0 kg Steel</w:t>
            </w:r>
          </w:p>
        </w:tc>
        <w:tc>
          <w:tcPr/>
          <w:p>
            <w:pPr>
              <w:pStyle w:val="Compact"/>
              <w:jc w:val="left"/>
            </w:pPr>
            <w:r>
              <w:t xml:space="preserve">Unit</w:t>
            </w:r>
          </w:p>
        </w:tc>
        <w:tc>
          <w:tcPr/>
          <w:p>
            <w:pPr>
              <w:pStyle w:val="Compact"/>
              <w:jc w:val="left"/>
            </w:pPr>
            <w:r>
              <w:t xml:space="preserve">Methodological Commentary &amp; 2026 Compliance</w:t>
            </w:r>
          </w:p>
        </w:tc>
      </w:tr>
      <w:tr>
        <w:tc>
          <w:tcPr/>
          <w:p>
            <w:pPr>
              <w:pStyle w:val="Compact"/>
              <w:jc w:val="left"/>
            </w:pPr>
            <w:r>
              <w:rPr>
                <w:bCs/>
                <w:b/>
              </w:rPr>
              <w:t xml:space="preserve">Fossil GHG Emissions</w:t>
            </w:r>
          </w:p>
        </w:tc>
        <w:tc>
          <w:tcPr/>
          <w:p>
            <w:pPr>
              <w:pStyle w:val="Compact"/>
              <w:jc w:val="left"/>
            </w:pPr>
            <w:r>
              <w:t xml:space="preserve">1.8653</w:t>
            </w:r>
          </w:p>
        </w:tc>
        <w:tc>
          <w:tcPr/>
          <w:p>
            <w:pPr>
              <w:pStyle w:val="Compact"/>
              <w:jc w:val="left"/>
            </w:pPr>
            <w:r>
              <w:t xml:space="preserve">kg CO</w:t>
            </w:r>
            <w:r>
              <w:rPr>
                <w:vertAlign w:val="subscript"/>
              </w:rPr>
              <w:t xml:space="preserve">2</w:t>
            </w:r>
            <w:r>
              <w:t xml:space="preserve">e</w:t>
            </w:r>
          </w:p>
        </w:tc>
        <w:tc>
          <w:tcPr/>
          <w:p>
            <w:pPr>
              <w:pStyle w:val="Compact"/>
              <w:jc w:val="left"/>
            </w:pPr>
            <w:r>
              <w:t xml:space="preserve">Conventional Scope 1, 2, and 3 fossil fuel combustion, metallurgical reductants, and electrical utilities.</w:t>
            </w:r>
          </w:p>
        </w:tc>
      </w:tr>
      <w:tr>
        <w:tc>
          <w:tcPr/>
          <w:p>
            <w:pPr>
              <w:pStyle w:val="Compact"/>
              <w:jc w:val="left"/>
            </w:pPr>
            <w:r>
              <w:rPr>
                <w:bCs/>
                <w:b/>
              </w:rPr>
              <w:t xml:space="preserve">Direct Land Use Change (dLUC)</w:t>
            </w:r>
          </w:p>
        </w:tc>
        <w:tc>
          <w:tcPr/>
          <w:p>
            <w:pPr>
              <w:pStyle w:val="Compact"/>
              <w:jc w:val="left"/>
            </w:pPr>
            <w:r>
              <w:t xml:space="preserve">0.0019</w:t>
            </w:r>
          </w:p>
        </w:tc>
        <w:tc>
          <w:tcPr/>
          <w:p>
            <w:pPr>
              <w:pStyle w:val="Compact"/>
              <w:jc w:val="left"/>
            </w:pPr>
            <w:r>
              <w:t xml:space="preserve">kg CO</w:t>
            </w:r>
            <w:r>
              <w:rPr>
                <w:vertAlign w:val="subscript"/>
              </w:rPr>
              <w:t xml:space="preserve">2</w:t>
            </w:r>
            <w:r>
              <w:t xml:space="preserve">e</w:t>
            </w:r>
          </w:p>
        </w:tc>
        <w:tc>
          <w:tcPr/>
          <w:p>
            <w:pPr>
              <w:pStyle w:val="Compact"/>
              <w:jc w:val="left"/>
            </w:pPr>
            <w:r>
              <w:t xml:space="preserve">Surface iron ore mining land transformation, tailings footprinting, and port infrastructure concession expansion amortized over 20 years.</w:t>
            </w:r>
          </w:p>
        </w:tc>
      </w:tr>
      <w:tr>
        <w:tc>
          <w:tcPr/>
          <w:p>
            <w:pPr>
              <w:pStyle w:val="Compact"/>
              <w:jc w:val="left"/>
            </w:pPr>
            <w:r>
              <w:rPr>
                <w:bCs/>
                <w:b/>
              </w:rPr>
              <w:t xml:space="preserve">Biogenic Carbon Emissions</w:t>
            </w:r>
          </w:p>
        </w:tc>
        <w:tc>
          <w:tcPr/>
          <w:p>
            <w:pPr>
              <w:pStyle w:val="Compact"/>
              <w:jc w:val="left"/>
            </w:pPr>
            <w:r>
              <w:t xml:space="preserve">0.0003</w:t>
            </w:r>
          </w:p>
        </w:tc>
        <w:tc>
          <w:tcPr/>
          <w:p>
            <w:pPr>
              <w:pStyle w:val="Compact"/>
              <w:jc w:val="left"/>
            </w:pPr>
            <w:r>
              <w:t xml:space="preserve">kg CO</w:t>
            </w:r>
            <w:r>
              <w:rPr>
                <w:vertAlign w:val="subscript"/>
              </w:rPr>
              <w:t xml:space="preserve">2</w:t>
            </w:r>
          </w:p>
        </w:tc>
        <w:tc>
          <w:tcPr/>
          <w:p>
            <w:pPr>
              <w:pStyle w:val="Compact"/>
              <w:jc w:val="left"/>
            </w:pPr>
            <w:r>
              <w:t xml:space="preserve">Minimal auxiliary bio-lubricants, renewable packaging wood pallets, and bio-binder additives in core agglomeration.</w:t>
            </w:r>
          </w:p>
        </w:tc>
      </w:tr>
      <w:tr>
        <w:tc>
          <w:tcPr/>
          <w:p>
            <w:pPr>
              <w:pStyle w:val="Compact"/>
              <w:jc w:val="left"/>
            </w:pPr>
            <w:r>
              <w:rPr>
                <w:bCs/>
                <w:b/>
              </w:rPr>
              <w:t xml:space="preserve">Biogenic Carbon Storage</w:t>
            </w:r>
          </w:p>
        </w:tc>
        <w:tc>
          <w:tcPr/>
          <w:p>
            <w:pPr>
              <w:pStyle w:val="Compact"/>
              <w:jc w:val="left"/>
            </w:pPr>
            <w:r>
              <w:t xml:space="preserve">0.0000</w:t>
            </w:r>
          </w:p>
        </w:tc>
        <w:tc>
          <w:tcPr/>
          <w:p>
            <w:pPr>
              <w:pStyle w:val="Compact"/>
              <w:jc w:val="left"/>
            </w:pPr>
            <w:r>
              <w:t xml:space="preserve">kg CO</w:t>
            </w:r>
            <w:r>
              <w:rPr>
                <w:vertAlign w:val="subscript"/>
              </w:rPr>
              <w:t xml:space="preserve">2</w:t>
            </w:r>
          </w:p>
        </w:tc>
        <w:tc>
          <w:tcPr/>
          <w:p>
            <w:pPr>
              <w:pStyle w:val="Compact"/>
              <w:jc w:val="left"/>
            </w:pPr>
            <w:r>
              <w:t xml:space="preserve">No biogenic carbon remains permanently sequestered in finished structural steel.</w:t>
            </w:r>
          </w:p>
        </w:tc>
      </w:tr>
      <w:tr>
        <w:tc>
          <w:tcPr/>
          <w:p>
            <w:pPr>
              <w:pStyle w:val="Compact"/>
              <w:jc w:val="left"/>
            </w:pPr>
            <w:r>
              <w:rPr>
                <w:bCs/>
                <w:b/>
              </w:rPr>
              <w:t xml:space="preserve">Technological Carbon Removals</w:t>
            </w:r>
          </w:p>
        </w:tc>
        <w:tc>
          <w:tcPr/>
          <w:p>
            <w:pPr>
              <w:pStyle w:val="Compact"/>
              <w:jc w:val="left"/>
            </w:pPr>
            <w:r>
              <w:t xml:space="preserve">0.0000</w:t>
            </w:r>
          </w:p>
        </w:tc>
        <w:tc>
          <w:tcPr/>
          <w:p>
            <w:pPr>
              <w:pStyle w:val="Compact"/>
              <w:jc w:val="left"/>
            </w:pPr>
            <w:r>
              <w:t xml:space="preserve">kg CO</w:t>
            </w:r>
            <w:r>
              <w:rPr>
                <w:vertAlign w:val="subscript"/>
              </w:rPr>
              <w:t xml:space="preserve">2</w:t>
            </w:r>
          </w:p>
        </w:tc>
        <w:tc>
          <w:tcPr/>
          <w:p>
            <w:pPr>
              <w:pStyle w:val="Compact"/>
              <w:jc w:val="left"/>
            </w:pPr>
            <w:r>
              <w:t xml:space="preserve">No active bio-energy with carbon capture (BECCS) or certified direct air capture (DAC) deployed at commercial scale at the Belgian facility.</w:t>
            </w:r>
          </w:p>
        </w:tc>
      </w:tr>
      <w:tr>
        <w:tc>
          <w:tcPr/>
          <w:p>
            <w:pPr>
              <w:pStyle w:val="Compact"/>
              <w:jc w:val="left"/>
            </w:pPr>
            <w:r>
              <w:rPr>
                <w:bCs/>
                <w:b/>
              </w:rPr>
              <w:t xml:space="preserve">Net Cradle-to-Gate Footprint</w:t>
            </w:r>
          </w:p>
        </w:tc>
        <w:tc>
          <w:tcPr/>
          <w:p>
            <w:pPr>
              <w:pStyle w:val="Compact"/>
              <w:jc w:val="left"/>
            </w:pPr>
            <w:r>
              <w:rPr>
                <w:bCs/>
                <w:b/>
              </w:rPr>
              <w:t xml:space="preserve">1.8675</w:t>
            </w:r>
          </w:p>
        </w:tc>
        <w:tc>
          <w:tcPr/>
          <w:p>
            <w:pPr>
              <w:pStyle w:val="Compact"/>
              <w:jc w:val="left"/>
            </w:pPr>
            <w:r>
              <w:t xml:space="preserve">kg CO</w:t>
            </w:r>
            <w:r>
              <w:rPr>
                <w:vertAlign w:val="subscript"/>
              </w:rPr>
              <w:t xml:space="preserve">2</w:t>
            </w:r>
            <w:r>
              <w:t xml:space="preserve">e</w:t>
            </w:r>
          </w:p>
        </w:tc>
        <w:tc>
          <w:tcPr/>
          <w:p>
            <w:pPr>
              <w:pStyle w:val="Compact"/>
              <w:jc w:val="left"/>
            </w:pPr>
            <w:r>
              <w:rPr>
                <w:bCs/>
                <w:b/>
              </w:rPr>
              <w:t xml:space="preserve">Fossil (1.8653) + dLUC (0.0019) + Biogenic (0.0003) - Removals (0.0000)</w:t>
            </w:r>
          </w:p>
        </w:tc>
      </w:tr>
    </w:tbl>
    <w:p>
      <w:pPr>
        <w:pStyle w:val="BodyText"/>
      </w:pPr>
      <w:r>
        <w:rPr>
          <w:bCs/>
          <w:b/>
        </w:rPr>
        <w:t xml:space="preserve">LSR Compliance Note:</w:t>
      </w:r>
      <w:r>
        <w:t xml:space="preserve"> </w:t>
      </w:r>
      <w:r>
        <w:t xml:space="preserve">In accordance with the 2026 rules, slag carbonation (spontaneous mineral carbonation during slag weathering) was assessed. Because the natural carbonation rate does not demonstrate permanent geochemically verified storage within the factory gate boundary, removals were conservative and recognized as 0.0000 kg CO</w:t>
      </w:r>
      <w:r>
        <w:rPr>
          <w:vertAlign w:val="subscript"/>
        </w:rPr>
        <w:t xml:space="preserve">2</w:t>
      </w:r>
      <w:r>
        <w:t xml:space="preserve">e.</w:t>
      </w:r>
    </w:p>
    <w:p>
      <w:r>
        <w:pict>
          <v:rect style="width:0;height:1.5pt" o:hralign="center" o:hrstd="t" o:hr="t"/>
        </w:pict>
      </w:r>
    </w:p>
    <w:bookmarkEnd w:id="34"/>
    <w:bookmarkStart w:id="38" w:name="X0b5de014dbf2e211fc06a5f9078da830145930d"/>
    <w:p>
      <w:pPr>
        <w:pStyle w:val="Heading1"/>
      </w:pPr>
      <w:r>
        <w:t xml:space="preserve">Step 6: Hotspot Analysis, Sensitivity &amp; Recommendations</w:t>
      </w:r>
    </w:p>
    <w:bookmarkStart w:id="35" w:name="key-emission-hotspots"/>
    <w:p>
      <w:pPr>
        <w:pStyle w:val="Heading2"/>
      </w:pPr>
      <w:r>
        <w:t xml:space="preserve">6.1 Key Emission Hotspots</w:t>
      </w:r>
    </w:p>
    <w:p>
      <w:pPr>
        <w:numPr>
          <w:ilvl w:val="0"/>
          <w:numId w:val="1003"/>
        </w:numPr>
        <w:pStyle w:val="Compact"/>
      </w:pPr>
      <w:r>
        <w:rPr>
          <w:bCs/>
          <w:b/>
        </w:rPr>
        <w:t xml:space="preserve">Hotspot 1: Blast Furnace Carbon Reduction (55.51% combined Direct Scope 1):</w:t>
      </w:r>
      <w:r>
        <w:t xml:space="preserve"> </w:t>
      </w:r>
      <w:r>
        <w:t xml:space="preserve">The primary driver is the chemical role of carbon as both a thermal energy provider and an oxygen-reducing agent for iron ore. Replacing coke and pulverized coal injection (PCI) is the paramount requirement for deep decarbonization.</w:t>
      </w:r>
    </w:p>
    <w:p>
      <w:pPr>
        <w:numPr>
          <w:ilvl w:val="0"/>
          <w:numId w:val="1003"/>
        </w:numPr>
        <w:pStyle w:val="Compact"/>
      </w:pPr>
      <w:r>
        <w:rPr>
          <w:bCs/>
          <w:b/>
        </w:rPr>
        <w:t xml:space="preserve">Hotspot 2: Upstream Ore &amp; Coal Mining (20.26% total cradle-to-gate):</w:t>
      </w:r>
      <w:r>
        <w:t xml:space="preserve"> </w:t>
      </w:r>
      <w:r>
        <w:t xml:space="preserve">Category 1 Scope 3 emissions in raw material extraction reflect the energy intensity of grinding, beneficiation, and high-temperature pellet sintering at mining hubs.</w:t>
      </w:r>
    </w:p>
    <w:p>
      <w:pPr>
        <w:numPr>
          <w:ilvl w:val="0"/>
          <w:numId w:val="1003"/>
        </w:numPr>
        <w:pStyle w:val="Compact"/>
      </w:pPr>
      <w:r>
        <w:rPr>
          <w:bCs/>
          <w:b/>
        </w:rPr>
        <w:t xml:space="preserve">Hotspot 3: Inbound Logistics &amp; Road Transport (6.34% total cradle-to-gate):</w:t>
      </w:r>
      <w:r>
        <w:t xml:space="preserve"> </w:t>
      </w:r>
      <w:r>
        <w:t xml:space="preserve">While transoceanic freight benefits from scale economies per ton-kilometer, domestic heavy-duty road transport represents a localized carbon concentration, contributing 0.0305 kg CO</w:t>
      </w:r>
      <w:r>
        <w:rPr>
          <w:vertAlign w:val="subscript"/>
        </w:rPr>
        <w:t xml:space="preserve">2</w:t>
      </w:r>
      <w:r>
        <w:t xml:space="preserve">e/kg.</w:t>
      </w:r>
    </w:p>
    <w:bookmarkEnd w:id="35"/>
    <w:bookmarkStart w:id="36" w:name="uncertainty-sensitivity-assessment"/>
    <w:p>
      <w:pPr>
        <w:pStyle w:val="Heading2"/>
      </w:pPr>
      <w:r>
        <w:t xml:space="preserve">6.2 Uncertainty &amp; Sensitivity Assessment</w:t>
      </w:r>
    </w:p>
    <w:p>
      <w:pPr>
        <w:pStyle w:val="FirstParagraph"/>
      </w:pPr>
      <w:r>
        <w:t xml:space="preserve">A pedigree matrix uncertainty analysis reveals an aggregate 95% confidence interval of</w:t>
      </w:r>
      <w:r>
        <w:t xml:space="preserve"> </w:t>
      </w:r>
      <w:r>
        <w:rPr>
          <w:bCs/>
          <w:b/>
        </w:rPr>
        <w:t xml:space="preserve">[±6.8%]</w:t>
      </w:r>
      <w:r>
        <w:t xml:space="preserve"> </w:t>
      </w:r>
      <w:r>
        <w:t xml:space="preserve">(1.741 to 1.994 kg CO</w:t>
      </w:r>
      <w:r>
        <w:rPr>
          <w:vertAlign w:val="subscript"/>
        </w:rPr>
        <w:t xml:space="preserve">2</w:t>
      </w:r>
      <w:r>
        <w:t xml:space="preserve">e/kg). The inventory is most sensitive to:</w:t>
      </w:r>
    </w:p>
    <w:p>
      <w:pPr>
        <w:numPr>
          <w:ilvl w:val="0"/>
          <w:numId w:val="1004"/>
        </w:numPr>
        <w:pStyle w:val="Compact"/>
      </w:pPr>
      <w:r>
        <w:rPr>
          <w:bCs/>
          <w:b/>
        </w:rPr>
        <w:t xml:space="preserve">Scrap Ratio in the BOF:</w:t>
      </w:r>
      <w:r>
        <w:t xml:space="preserve"> </w:t>
      </w:r>
      <w:r>
        <w:t xml:space="preserve">Increasing scrap loading from 18% to 28% reduces total PCF by</w:t>
      </w:r>
      <w:r>
        <w:t xml:space="preserve"> </w:t>
      </w:r>
      <w:r>
        <w:rPr>
          <w:bCs/>
          <w:b/>
        </w:rPr>
        <w:t xml:space="preserve">9.4%</w:t>
      </w:r>
      <w:r>
        <w:t xml:space="preserve">.</w:t>
      </w:r>
    </w:p>
    <w:p>
      <w:pPr>
        <w:numPr>
          <w:ilvl w:val="0"/>
          <w:numId w:val="1004"/>
        </w:numPr>
        <w:pStyle w:val="Compact"/>
      </w:pPr>
      <w:r>
        <w:rPr>
          <w:bCs/>
          <w:b/>
        </w:rPr>
        <w:t xml:space="preserve">Belgian Grid Decarbonization:</w:t>
      </w:r>
      <w:r>
        <w:t xml:space="preserve"> </w:t>
      </w:r>
      <w:r>
        <w:t xml:space="preserve">Procuring 100% certified wind/nuclear Power Purchase Agreements (PPAs) reduces Scope 2 emissions from 0.0707 to 0.0042 kg CO</w:t>
      </w:r>
      <w:r>
        <w:rPr>
          <w:vertAlign w:val="subscript"/>
        </w:rPr>
        <w:t xml:space="preserve">2</w:t>
      </w:r>
      <w:r>
        <w:t xml:space="preserve">e/kg, yielding a</w:t>
      </w:r>
      <w:r>
        <w:t xml:space="preserve"> </w:t>
      </w:r>
      <w:r>
        <w:rPr>
          <w:bCs/>
          <w:b/>
        </w:rPr>
        <w:t xml:space="preserve">3.6% net PCF decline</w:t>
      </w:r>
      <w:r>
        <w:t xml:space="preserve">.</w:t>
      </w:r>
    </w:p>
    <w:p>
      <w:pPr>
        <w:numPr>
          <w:ilvl w:val="0"/>
          <w:numId w:val="1004"/>
        </w:numPr>
        <w:pStyle w:val="Compact"/>
      </w:pPr>
      <w:r>
        <w:rPr>
          <w:bCs/>
          <w:b/>
        </w:rPr>
        <w:t xml:space="preserve">Road Freight Electrification:</w:t>
      </w:r>
      <w:r>
        <w:t xml:space="preserve"> </w:t>
      </w:r>
      <w:r>
        <w:t xml:space="preserve">Transitioning regional inbound road freight to battery-electric heavy trucks (BEV) decreases logistics emissions by</w:t>
      </w:r>
      <w:r>
        <w:t xml:space="preserve"> </w:t>
      </w:r>
      <w:r>
        <w:rPr>
          <w:bCs/>
          <w:b/>
        </w:rPr>
        <w:t xml:space="preserve">58%</w:t>
      </w:r>
      <w:r>
        <w:t xml:space="preserve">.</w:t>
      </w:r>
    </w:p>
    <w:bookmarkEnd w:id="36"/>
    <w:bookmarkStart w:id="37" w:name="decarbonization-roadmap-target-20302040"/>
    <w:p>
      <w:pPr>
        <w:pStyle w:val="Heading2"/>
      </w:pPr>
      <w:r>
        <w:t xml:space="preserve">6.3 Decarbonization Roadmap (Target: 2030–2040)</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Decarbonization Lever</w:t>
            </w:r>
          </w:p>
        </w:tc>
        <w:tc>
          <w:tcPr/>
          <w:p>
            <w:pPr>
              <w:pStyle w:val="Compact"/>
              <w:jc w:val="left"/>
            </w:pPr>
            <w:r>
              <w:t xml:space="preserve">Implementation Horizon</w:t>
            </w:r>
          </w:p>
        </w:tc>
        <w:tc>
          <w:tcPr/>
          <w:p>
            <w:pPr>
              <w:pStyle w:val="Compact"/>
              <w:jc w:val="left"/>
            </w:pPr>
            <w:r>
              <w:t xml:space="preserve">Potential Reduction</w:t>
            </w:r>
          </w:p>
        </w:tc>
        <w:tc>
          <w:tcPr/>
          <w:p>
            <w:pPr>
              <w:pStyle w:val="Compact"/>
              <w:jc w:val="left"/>
            </w:pPr>
            <w:r>
              <w:t xml:space="preserve">Primary Mechanism</w:t>
            </w:r>
          </w:p>
        </w:tc>
      </w:tr>
      <w:tr>
        <w:tc>
          <w:tcPr/>
          <w:p>
            <w:pPr>
              <w:pStyle w:val="Compact"/>
              <w:jc w:val="left"/>
            </w:pPr>
            <w:r>
              <w:rPr>
                <w:bCs/>
                <w:b/>
              </w:rPr>
              <w:t xml:space="preserve">Scrap Rate Maximization</w:t>
            </w:r>
          </w:p>
        </w:tc>
        <w:tc>
          <w:tcPr/>
          <w:p>
            <w:pPr>
              <w:pStyle w:val="Compact"/>
              <w:jc w:val="left"/>
            </w:pPr>
            <w:r>
              <w:t xml:space="preserve">Short-term (2026–2028)</w:t>
            </w:r>
          </w:p>
        </w:tc>
        <w:tc>
          <w:tcPr/>
          <w:p>
            <w:pPr>
              <w:pStyle w:val="Compact"/>
              <w:jc w:val="left"/>
            </w:pPr>
            <w:r>
              <w:t xml:space="preserve">-0.18 kg CO</w:t>
            </w:r>
            <w:r>
              <w:rPr>
                <w:vertAlign w:val="subscript"/>
              </w:rPr>
              <w:t xml:space="preserve">2</w:t>
            </w:r>
            <w:r>
              <w:t xml:space="preserve">e/kg</w:t>
            </w:r>
          </w:p>
        </w:tc>
        <w:tc>
          <w:tcPr/>
          <w:p>
            <w:pPr>
              <w:pStyle w:val="Compact"/>
              <w:jc w:val="left"/>
            </w:pPr>
            <w:r>
              <w:t xml:space="preserve">Pre-heating and increasing scrap charging in BOF to 25–30%.</w:t>
            </w:r>
          </w:p>
        </w:tc>
      </w:tr>
      <w:tr>
        <w:tc>
          <w:tcPr/>
          <w:p>
            <w:pPr>
              <w:pStyle w:val="Compact"/>
              <w:jc w:val="left"/>
            </w:pPr>
            <w:r>
              <w:rPr>
                <w:bCs/>
                <w:b/>
              </w:rPr>
              <w:t xml:space="preserve">Renewable Power (PPA)</w:t>
            </w:r>
          </w:p>
        </w:tc>
        <w:tc>
          <w:tcPr/>
          <w:p>
            <w:pPr>
              <w:pStyle w:val="Compact"/>
              <w:jc w:val="left"/>
            </w:pPr>
            <w:r>
              <w:t xml:space="preserve">Short-term (2026–2027)</w:t>
            </w:r>
          </w:p>
        </w:tc>
        <w:tc>
          <w:tcPr/>
          <w:p>
            <w:pPr>
              <w:pStyle w:val="Compact"/>
              <w:jc w:val="left"/>
            </w:pPr>
            <w:r>
              <w:t xml:space="preserve">-0.06 kg CO</w:t>
            </w:r>
            <w:r>
              <w:rPr>
                <w:vertAlign w:val="subscript"/>
              </w:rPr>
              <w:t xml:space="preserve">2</w:t>
            </w:r>
            <w:r>
              <w:t xml:space="preserve">e/kg</w:t>
            </w:r>
          </w:p>
        </w:tc>
        <w:tc>
          <w:tcPr/>
          <w:p>
            <w:pPr>
              <w:pStyle w:val="Compact"/>
              <w:jc w:val="left"/>
            </w:pPr>
            <w:r>
              <w:t xml:space="preserve">Contracting Belgian offshore wind PPAs for complete Scope 2 abatement.</w:t>
            </w:r>
          </w:p>
        </w:tc>
      </w:tr>
      <w:tr>
        <w:tc>
          <w:tcPr/>
          <w:p>
            <w:pPr>
              <w:pStyle w:val="Compact"/>
              <w:jc w:val="left"/>
            </w:pPr>
            <w:r>
              <w:rPr>
                <w:bCs/>
                <w:b/>
              </w:rPr>
              <w:t xml:space="preserve">Bio-Coal / Torrefied Biomass</w:t>
            </w:r>
          </w:p>
        </w:tc>
        <w:tc>
          <w:tcPr/>
          <w:p>
            <w:pPr>
              <w:pStyle w:val="Compact"/>
              <w:jc w:val="left"/>
            </w:pPr>
            <w:r>
              <w:t xml:space="preserve">Medium-term (2028–2032)</w:t>
            </w:r>
          </w:p>
        </w:tc>
        <w:tc>
          <w:tcPr/>
          <w:p>
            <w:pPr>
              <w:pStyle w:val="Compact"/>
              <w:jc w:val="left"/>
            </w:pPr>
            <w:r>
              <w:t xml:space="preserve">-0.22 kg CO</w:t>
            </w:r>
            <w:r>
              <w:rPr>
                <w:vertAlign w:val="subscript"/>
              </w:rPr>
              <w:t xml:space="preserve">2</w:t>
            </w:r>
            <w:r>
              <w:t xml:space="preserve">e/kg</w:t>
            </w:r>
          </w:p>
        </w:tc>
        <w:tc>
          <w:tcPr/>
          <w:p>
            <w:pPr>
              <w:pStyle w:val="Compact"/>
              <w:jc w:val="left"/>
            </w:pPr>
            <w:r>
              <w:t xml:space="preserve">Injecting biogenic carbon as a PCI substitute (compliant with 2026 LSR rules).</w:t>
            </w:r>
          </w:p>
        </w:tc>
      </w:tr>
      <w:tr>
        <w:tc>
          <w:tcPr/>
          <w:p>
            <w:pPr>
              <w:pStyle w:val="Compact"/>
              <w:jc w:val="left"/>
            </w:pPr>
            <w:r>
              <w:rPr>
                <w:bCs/>
                <w:b/>
              </w:rPr>
              <w:t xml:space="preserve">Direct Reduced Iron (DRI-H</w:t>
            </w:r>
            <w:r>
              <w:rPr>
                <w:vertAlign w:val="subscript"/>
                <w:bCs/>
                <w:b/>
              </w:rPr>
              <w:t xml:space="preserve">2</w:t>
            </w:r>
            <w:r>
              <w:rPr>
                <w:bCs/>
                <w:b/>
              </w:rPr>
              <w:t xml:space="preserve">) + EAF</w:t>
            </w:r>
          </w:p>
        </w:tc>
        <w:tc>
          <w:tcPr/>
          <w:p>
            <w:pPr>
              <w:pStyle w:val="Compact"/>
              <w:jc w:val="left"/>
            </w:pPr>
            <w:r>
              <w:t xml:space="preserve">Long-term (2032–2040)</w:t>
            </w:r>
          </w:p>
        </w:tc>
        <w:tc>
          <w:tcPr/>
          <w:p>
            <w:pPr>
              <w:pStyle w:val="Compact"/>
              <w:jc w:val="left"/>
            </w:pPr>
            <w:r>
              <w:t xml:space="preserve">-1.35 kg CO</w:t>
            </w:r>
            <w:r>
              <w:rPr>
                <w:vertAlign w:val="subscript"/>
              </w:rPr>
              <w:t xml:space="preserve">2</w:t>
            </w:r>
            <w:r>
              <w:t xml:space="preserve">e/kg</w:t>
            </w:r>
          </w:p>
        </w:tc>
        <w:tc>
          <w:tcPr/>
          <w:p>
            <w:pPr>
              <w:pStyle w:val="Compact"/>
              <w:jc w:val="left"/>
            </w:pPr>
            <w:r>
              <w:t xml:space="preserve">Full transition to green hydrogen DRI coupled with Electric Arc Furnaces.</w:t>
            </w:r>
          </w:p>
        </w:tc>
      </w:tr>
    </w:tbl>
    <w:p>
      <w:r>
        <w:pict>
          <v:rect style="width:0;height:1.5pt" o:hralign="center" o:hrstd="t" o:hr="t"/>
        </w:pict>
      </w:r>
    </w:p>
    <w:bookmarkEnd w:id="37"/>
    <w:bookmarkEnd w:id="38"/>
    <w:bookmarkStart w:id="39" w:name="step-7-verification-methodological-notes"/>
    <w:p>
      <w:pPr>
        <w:pStyle w:val="Heading1"/>
      </w:pPr>
      <w:r>
        <w:t xml:space="preserve">Step 7: Verification &amp; Methodological Notes</w:t>
      </w:r>
    </w:p>
    <w:p>
      <w:pPr>
        <w:pStyle w:val="FirstParagraph"/>
      </w:pPr>
      <w:r>
        <w:t xml:space="preserve">This greenhouse gas assessment conforms to the operational principles of relevance, completeness, consistency, transparency, and accuracy stipulated by the</w:t>
      </w:r>
      <w:r>
        <w:t xml:space="preserve"> </w:t>
      </w:r>
      <w:r>
        <w:rPr>
          <w:bCs/>
          <w:b/>
        </w:rPr>
        <w:t xml:space="preserve">GHG Protocol Product Standard</w:t>
      </w:r>
      <w:r>
        <w:t xml:space="preserve">.</w:t>
      </w:r>
    </w:p>
    <w:p>
      <w:pPr>
        <w:numPr>
          <w:ilvl w:val="0"/>
          <w:numId w:val="1005"/>
        </w:numPr>
        <w:pStyle w:val="Compact"/>
      </w:pPr>
      <w:r>
        <w:rPr>
          <w:bCs/>
          <w:b/>
        </w:rPr>
        <w:t xml:space="preserve">Scope 3 Completeness:</w:t>
      </w:r>
      <w:r>
        <w:t xml:space="preserve"> </w:t>
      </w:r>
      <w:r>
        <w:t xml:space="preserve">Cumulative upstream inventory captures 99.1% of raw mass inputs, exceeding the 95% threshold established under modern corporate and product reporting benchmarks.</w:t>
      </w:r>
    </w:p>
    <w:p>
      <w:pPr>
        <w:numPr>
          <w:ilvl w:val="0"/>
          <w:numId w:val="1005"/>
        </w:numPr>
        <w:pStyle w:val="Compact"/>
      </w:pPr>
      <w:r>
        <w:rPr>
          <w:bCs/>
          <w:b/>
        </w:rPr>
        <w:t xml:space="preserve">Biogenic Balance:</w:t>
      </w:r>
      <w:r>
        <w:t xml:space="preserve"> </w:t>
      </w:r>
      <w:r>
        <w:t xml:space="preserve">Compliant with the 2026 Land Sector and Removals Standard; fossil, biogenic, and land-use transition emissions are reported discretely without irregular net offset blending.</w:t>
      </w:r>
    </w:p>
    <w:p>
      <w:pPr>
        <w:numPr>
          <w:ilvl w:val="0"/>
          <w:numId w:val="1005"/>
        </w:numPr>
        <w:pStyle w:val="Compact"/>
      </w:pPr>
      <w:r>
        <w:rPr>
          <w:bCs/>
          <w:b/>
        </w:rPr>
        <w:t xml:space="preserve">Verification Readiness:</w:t>
      </w:r>
      <w:r>
        <w:t xml:space="preserve"> </w:t>
      </w:r>
      <w:r>
        <w:t xml:space="preserve">Activity spreadsheets, supplier delivery notes for road transport, emission factor registries, and allocation calculations are documented for independent third-party ISO 14067 / GHG Protocol limited assurance audits.</w:t>
      </w:r>
    </w:p>
    <w:p>
      <w:pPr>
        <w:pStyle w:val="FirstParagraph"/>
      </w:pPr>
      <w:r>
        <w:rPr>
          <w:bCs/>
          <w:b/>
        </w:rPr>
        <w:t xml:space="preserve">businessanalytiq.com</w:t>
      </w:r>
      <w:r>
        <w:t xml:space="preserve"> </w:t>
      </w:r>
      <w:r>
        <w:t xml:space="preserve">• Carbon Accounting &amp; Environmental Intelligence</w:t>
      </w:r>
    </w:p>
    <w:p>
      <w:pPr>
        <w:pStyle w:val="BodyText"/>
      </w:pPr>
      <w:r>
        <w:t xml:space="preserve">Confidential • Prepared for Technical Product Dossier • Page 2 of 2</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Steel - 1.0 kg Factory Gate (Belgium)</dc:title>
  <dc:creator/>
  <dc:description>Comprehensive Product Carbon Footprint (PCF) report for 1.0 kg of steel produced in Belgium, compliant with the GHG Protocol Product Standard and the 2026 Land Sector and Removals (LSR) Guidance.</dc:description>
  <dc:language>en</dc:language>
  <cp:keywords/>
  <dcterms:created xsi:type="dcterms:W3CDTF">2026-10-09T14:49:18Z</dcterms:created>
  <dcterms:modified xsi:type="dcterms:W3CDTF">2026-10-09T14:49:18Z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