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sqfzyfsdqg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sqfzyfsdqg</w:t>
      </w:r>
    </w:p>
    <w:p>
      <w:pPr>
        <w:pStyle w:val="BodyText"/>
      </w:pPr>
      <w:r>
        <w:rPr>
          <w:bCs/>
          <w:b/>
        </w:rPr>
        <w:t xml:space="preserve">Company:</w:t>
      </w:r>
      <w:r>
        <w:t xml:space="preserve"> </w:t>
      </w:r>
      <w:r>
        <w:t xml:space="preserve">wgosrjsnkr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nuusngmlft</w:t>
      </w:r>
    </w:p>
    <w:p>
      <w:pPr>
        <w:pStyle w:val="BodyText"/>
      </w:pPr>
      <w:r>
        <w:t xml:space="preserve">This report is generated based on available data and industry standards. While every effort has been made to ensure accuracy, the estimations may vary based on data availability, specific supply chain complexities, and evolving emission factors.</w:t>
      </w:r>
    </w:p>
    <w:bookmarkEnd w:id="20"/>
    <w:bookmarkStart w:id="21" w:name="X002572b19678cc8423689683b022e348d76e73c"/>
    <w:p>
      <w:pPr>
        <w:pStyle w:val="Heading1"/>
      </w:pPr>
      <w:r>
        <w:t xml:space="preserve">Product Carbon Footprint (PCF) Analysis for sqfzyfsdqg</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sqfzyfsdqg, manufactured by wgosrjsnkr. The analysis adheres strictly to the Greenhouse Gas (GHG) Protocol standards, including the 2026 Land Sector and Removals (LSR) update, and aims for at least 95% coverage for Scope 3 emissions. The functional unit for this assessment is 1.0 unit of sqfzyfsdqg, with a system boundary set at the factory gate for primary production. This report provides a comprehensive breakdown of emissions across the product\'s lifecycle, from raw material extraction to end-of-life, identifying key hotspots and offering insights for sustainability improvements. All calculations are based on the provided Bill of Materials (BOM), custom energy usage, transport logistics, and end-of-life scenarios, complemented by illustrative industry-standard emission factors where specific data was not provided.</w:t>
      </w:r>
    </w:p>
    <w:p>
      <w:r>
        <w:pict>
          <v:rect style="width:0;height:1.5pt" o:hralign="center" o:hrstd="t" o:hr="t"/>
        </w:pict>
      </w:r>
    </w:p>
    <w:bookmarkEnd w:id="22"/>
    <w:bookmarkStart w:id="29" w:name="methodology"/>
    <w:p>
      <w:pPr>
        <w:pStyle w:val="Heading2"/>
      </w:pPr>
      <w:r>
        <w:t xml:space="preserve">1. Methodology</w:t>
      </w:r>
    </w:p>
    <w:p>
      <w:pPr>
        <w:pStyle w:val="FirstParagraph"/>
      </w:pPr>
      <w:r>
        <w:t xml:space="preserve">The Product Carbon Footprint (PCF) analysis for sqfzyfsdqg follows a structured methodology in accordance with the GHG Protocol, ensuring a robust and transparent assessment of greenhouse gas emissions throughout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sqfzyfsdqg.</w:t>
      </w:r>
    </w:p>
    <w:p>
      <w:pPr>
        <w:numPr>
          <w:ilvl w:val="0"/>
          <w:numId w:val="1001"/>
        </w:numPr>
        <w:pStyle w:val="Compact"/>
      </w:pPr>
      <w:r>
        <w:rPr>
          <w:bCs/>
          <w:b/>
        </w:rPr>
        <w:t xml:space="preserve">System Boundary:</w:t>
      </w:r>
      <w:r>
        <w:t xml:space="preserve"> </w:t>
      </w:r>
      <w:r>
        <w:t xml:space="preserve">Cradle-to-grave, with a primary focus on the factory_gate for production processes, extending to encompass raw material acquisition,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Europe Focused for upstream activities. Use phase and end-of-life impacts are considered globally or regionally as appropriate.</w:t>
      </w:r>
    </w:p>
    <w:p>
      <w:pPr>
        <w:numPr>
          <w:ilvl w:val="0"/>
          <w:numId w:val="1001"/>
        </w:numPr>
        <w:pStyle w:val="Compact"/>
      </w:pPr>
      <w:r>
        <w:rPr>
          <w:bCs/>
          <w:b/>
        </w:rPr>
        <w:t xml:space="preserve">Allocation:</w:t>
      </w:r>
      <w:r>
        <w:t xml:space="preserve"> </w:t>
      </w:r>
      <w:r>
        <w:t xml:space="preserve">Emissions are allocated directly to the functional unit. In cases of multi-product processes, economic allocation or mass allocation is applied as deemed appropriate by industry best practices (though not explicitly detailed in this report due to specific product focus).</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electricity), and Scope 3 (all other indirect emissions across the value chain). The analysis also incorporates the 2026 Land Sector and Removals (LSR) Standard for land use and carbon removals.</w:t>
      </w:r>
    </w:p>
    <w:bookmarkEnd w:id="23"/>
    <w:bookmarkStart w:id="26" w:name="X5e8482f710871021beb9278d0e8133ddc8ab266"/>
    <w:p>
      <w:pPr>
        <w:pStyle w:val="Heading3"/>
      </w:pPr>
      <w:r>
        <w:t xml:space="preserve">1.2. Map Lifecycle (LCI Inventory Stages) &amp; 1.3. Collect Data (Primary/Secondary Data Points)</w:t>
      </w:r>
    </w:p>
    <w:p>
      <w:pPr>
        <w:pStyle w:val="FirstParagraph"/>
      </w:pPr>
      <w:r>
        <w:t xml:space="preserve">The lifecycle of sqfzyfsdqg is mapped through the following stages, with data collected from primary and secondary sources:</w:t>
      </w:r>
    </w:p>
    <w:p>
      <w:pPr>
        <w:numPr>
          <w:ilvl w:val="0"/>
          <w:numId w:val="1002"/>
        </w:numPr>
        <w:pStyle w:val="Compact"/>
      </w:pPr>
      <w:r>
        <w:rPr>
          <w:bCs/>
          <w:b/>
        </w:rPr>
        <w:t xml:space="preserve">Raw Material Acquisition &amp; Pre-processing (Scope 3 - Upstream):</w:t>
      </w:r>
      <w:r>
        <w:t xml:space="preserve"> </w:t>
      </w:r>
      <w:r>
        <w:t xml:space="preserve">Detailed Bill of Materials (BOM) for high-accuracy material impact calculation. The provided BOM (lwzgswfq) includes specific emission factors and total carbon for each component.</w:t>
      </w:r>
    </w:p>
    <w:p>
      <w:pPr>
        <w:numPr>
          <w:ilvl w:val="0"/>
          <w:numId w:val="1002"/>
        </w:numPr>
        <w:pStyle w:val="Compact"/>
      </w:pPr>
      <w:r>
        <w:rPr>
          <w:bCs/>
          <w:b/>
        </w:rPr>
        <w:t xml:space="preserve">Manufacturing / Production (Scope 1 &amp; 2):</w:t>
      </w:r>
      <w:r>
        <w:t xml:space="preserve"> </w:t>
      </w:r>
      <w:r>
        <w:t xml:space="preserve">Energy intensity (ovodyxnvdf) and renewable energy usage (zomdjpwgxg) data for the production facility in China.</w:t>
      </w:r>
    </w:p>
    <w:p>
      <w:pPr>
        <w:numPr>
          <w:ilvl w:val="0"/>
          <w:numId w:val="1002"/>
        </w:numPr>
        <w:pStyle w:val="Compact"/>
      </w:pPr>
      <w:r>
        <w:rPr>
          <w:bCs/>
          <w:b/>
        </w:rPr>
        <w:t xml:space="preserve">Transport (Scope 3 - Upstream &amp; Downstream):</w:t>
      </w:r>
      <w:r>
        <w:t xml:space="preserve"> </w:t>
      </w:r>
      <w:r>
        <w:t xml:space="preserve">Specific logistics data, including transport mode (Select Mode), transport distance (ejyhorrfmp) for raw materials, and last-mile delivery channel (Delivery Type) for finished products.</w:t>
      </w:r>
    </w:p>
    <w:p>
      <w:pPr>
        <w:numPr>
          <w:ilvl w:val="0"/>
          <w:numId w:val="1002"/>
        </w:numPr>
        <w:pStyle w:val="Compact"/>
      </w:pPr>
      <w:r>
        <w:rPr>
          <w:bCs/>
          <w:b/>
        </w:rPr>
        <w:t xml:space="preserve">Use Phase (Scope 3 - Downstream):</w:t>
      </w:r>
      <w:r>
        <w:t xml:space="preserve"> </w:t>
      </w:r>
      <w:r>
        <w:t xml:space="preserve">Product lifespan (ifgmiuziyp) and energy consumption during use (ztltmddtmt).</w:t>
      </w:r>
    </w:p>
    <w:p>
      <w:pPr>
        <w:numPr>
          <w:ilvl w:val="0"/>
          <w:numId w:val="1002"/>
        </w:numPr>
        <w:pStyle w:val="Compact"/>
      </w:pPr>
      <w:r>
        <w:rPr>
          <w:bCs/>
          <w:b/>
        </w:rPr>
        <w:t xml:space="preserve">End-of-Life (EoL) (Scope 3 - Downstream):</w:t>
      </w:r>
      <w:r>
        <w:t xml:space="preserve"> </w:t>
      </w:r>
      <w:r>
        <w:t xml:space="preserve">Recyclability percentage (gyivvnxysz) and information on circular/take-back programs (ueryjikmmi).</w:t>
      </w:r>
    </w:p>
    <w:bookmarkStart w:id="24" w:name="Xce1b1793ce280cd01c51e3782fa1df60f5e94da"/>
    <w:p>
      <w:pPr>
        <w:pStyle w:val="Heading4"/>
      </w:pPr>
      <w:r>
        <w:t xml:space="preserve">Detailed Bill of Materials (BOM) Data (lwzgswfq)</w:t>
      </w:r>
    </w:p>
    <w:p>
      <w:pPr>
        <w:pStyle w:val="FirstParagraph"/>
      </w:pPr>
      <w:r>
        <w:t xml:space="preserve">The following table details the Bill of Materials for sqfzyfsdqg, including pre-calculated total carbon emissions for each component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bl>
    <w:p>
      <w:pPr>
        <w:pStyle w:val="BodyText"/>
      </w:pPr>
      <w:r>
        <w:t xml:space="preserve">Total Material Weight from BOM: 8.6 kg</w:t>
      </w:r>
    </w:p>
    <w:bookmarkEnd w:id="24"/>
    <w:bookmarkStart w:id="25" w:name="energy-inputs-for-production"/>
    <w:p>
      <w:pPr>
        <w:pStyle w:val="Heading4"/>
      </w:pPr>
      <w:r>
        <w:t xml:space="preserve">Energy Inputs for Production</w:t>
      </w:r>
    </w:p>
    <w:p>
      <w:pPr>
        <w:numPr>
          <w:ilvl w:val="0"/>
          <w:numId w:val="1003"/>
        </w:numPr>
        <w:pStyle w:val="Compact"/>
      </w:pPr>
      <w:r>
        <w:t xml:space="preserve">Energy Intensity (kWh/unit): 45 kWh/unit [cite: The value `ovodyxnvdf` was provided as 45 kWh/unit in the prompt.]</w:t>
      </w:r>
    </w:p>
    <w:p>
      <w:pPr>
        <w:numPr>
          <w:ilvl w:val="0"/>
          <w:numId w:val="1003"/>
        </w:numPr>
        <w:pStyle w:val="Compact"/>
      </w:pPr>
      <w:r>
        <w:t xml:space="preserve">Renewable Energy Usage: 65% [cite: The value `zomdjpwgxg` was provided as 65% in the prompt.]</w:t>
      </w:r>
    </w:p>
    <w:p>
      <w:pPr>
        <w:numPr>
          <w:ilvl w:val="0"/>
          <w:numId w:val="1003"/>
        </w:numPr>
        <w:pStyle w:val="Compact"/>
      </w:pPr>
      <w:r>
        <w:t xml:space="preserve">Non-renewable Grid Electricity: 45 kWh/unit * (1 - 0.65) = 15.75 kWh/unit</w:t>
      </w:r>
    </w:p>
    <w:bookmarkEnd w:id="25"/>
    <w:bookmarkEnd w:id="26"/>
    <w:bookmarkStart w:id="27" w:name="Xb404f6bea4a0013006ec7a9103609d9ea6643c1"/>
    <w:p>
      <w:pPr>
        <w:pStyle w:val="Heading3"/>
      </w:pPr>
      <w:r>
        <w:t xml:space="preserve">1.4. Calculate Emissions (Activity * Emission Factor = CO2e)</w:t>
      </w:r>
    </w:p>
    <w:p>
      <w:pPr>
        <w:pStyle w:val="FirstParagraph"/>
      </w:pPr>
      <w:r>
        <w:t xml:space="preserve">Emissions are calculated for each life cycle stage by multiplying activity data by appropriate emission factors. Industry-standard emission factors, typically sourced from databases like Ecoinvent or DEFRA, are used. For the purpose of this report, illustrative emission factors are applied where specific real-world factors were not provided.</w:t>
      </w:r>
    </w:p>
    <w:p>
      <w:pPr>
        <w:numPr>
          <w:ilvl w:val="0"/>
          <w:numId w:val="1004"/>
        </w:numPr>
        <w:pStyle w:val="Compact"/>
      </w:pPr>
      <w:r>
        <w:rPr>
          <w:bCs/>
          <w:b/>
        </w:rPr>
        <w:t xml:space="preserve">Illustrative Emission Factor - China Grid Electricity:</w:t>
      </w:r>
      <w:r>
        <w:t xml:space="preserve"> </w:t>
      </w:r>
      <w:r>
        <w:t xml:space="preserve">0.6 kg CO2e/kWh (for production phase, based on typical grid mix in China).</w:t>
      </w:r>
    </w:p>
    <w:p>
      <w:pPr>
        <w:numPr>
          <w:ilvl w:val="0"/>
          <w:numId w:val="1004"/>
        </w:numPr>
        <w:pStyle w:val="Compact"/>
      </w:pPr>
      <w:r>
        <w:rPr>
          <w:bCs/>
          <w:b/>
        </w:rPr>
        <w:t xml:space="preserve">Illustrative Emission Factor - Global Average Grid Electricity:</w:t>
      </w:r>
      <w:r>
        <w:t xml:space="preserve"> </w:t>
      </w:r>
      <w:r>
        <w:t xml:space="preserve">0.3 kg CO2e/kWh (for use phase).</w:t>
      </w:r>
    </w:p>
    <w:p>
      <w:pPr>
        <w:numPr>
          <w:ilvl w:val="0"/>
          <w:numId w:val="1004"/>
        </w:numPr>
        <w:pStyle w:val="Compact"/>
      </w:pPr>
      <w:r>
        <w:rPr>
          <w:bCs/>
          <w:b/>
        </w:rPr>
        <w:t xml:space="preserve">Illustrative Emission Factor - Road Freight (HGV 40t+):</w:t>
      </w:r>
      <w:r>
        <w:t xml:space="preserve"> </w:t>
      </w:r>
      <w:r>
        <w:t xml:space="preserve">0.02 kg CO2e/tkm.</w:t>
      </w:r>
    </w:p>
    <w:p>
      <w:pPr>
        <w:numPr>
          <w:ilvl w:val="0"/>
          <w:numId w:val="1004"/>
        </w:numPr>
        <w:pStyle w:val="Compact"/>
      </w:pPr>
      <w:r>
        <w:rPr>
          <w:bCs/>
          <w:b/>
        </w:rPr>
        <w:t xml:space="preserve">Illustrative Emission Factor - Small Parcel Delivery (Van):</w:t>
      </w:r>
      <w:r>
        <w:t xml:space="preserve"> </w:t>
      </w:r>
      <w:r>
        <w:t xml:space="preserve">0.3 kg CO2e/unit (simplified average for last-mile delivery).</w:t>
      </w:r>
    </w:p>
    <w:p>
      <w:pPr>
        <w:numPr>
          <w:ilvl w:val="0"/>
          <w:numId w:val="1004"/>
        </w:numPr>
        <w:pStyle w:val="Compact"/>
      </w:pPr>
      <w:r>
        <w:rPr>
          <w:bCs/>
          <w:b/>
        </w:rPr>
        <w:t xml:space="preserve">Illustrative Emission Factor - End-of-Life (Landfill/Incineration):</w:t>
      </w:r>
      <w:r>
        <w:t xml:space="preserve"> </w:t>
      </w:r>
      <w:r>
        <w:t xml:space="preserve">1.5 kg CO2e/kg (for non-recyclable materials).</w:t>
      </w:r>
    </w:p>
    <w:p>
      <w:pPr>
        <w:numPr>
          <w:ilvl w:val="0"/>
          <w:numId w:val="1004"/>
        </w:numPr>
        <w:pStyle w:val="Compact"/>
      </w:pPr>
      <w:r>
        <w:rPr>
          <w:bCs/>
          <w:b/>
        </w:rPr>
        <w:t xml:space="preserve">Illustrative Avoided Emissions Factor - End-of-Life (Recycling):</w:t>
      </w:r>
      <w:r>
        <w:t xml:space="preserve"> </w:t>
      </w:r>
      <w:r>
        <w:t xml:space="preserve">-1.0 kg CO2e/kg (for recyclable materials).</w:t>
      </w:r>
    </w:p>
    <w:p>
      <w:pPr>
        <w:pStyle w:val="FirstParagraph"/>
      </w:pPr>
      <w:r>
        <w:rPr>
          <w:bCs/>
          <w:b/>
        </w:rPr>
        <w:t xml:space="preserve">Note on LSR Standard (2026 Update):</w:t>
      </w:r>
      <w:r>
        <w:t xml:space="preserve"> </w:t>
      </w:r>
      <w:r>
        <w:t xml:space="preserve">The Land Sector and Removals (LSR) Standard considers GHG emissions and removals associated with land use change and land management. For the product sqfzyfsdqg, composed primarily of metals and plastics, direct land use change impacts are considered negligible at the product level. However, indirect impacts through raw material sourcing (e.g., mining, forestry for packaging) would be further scrutinized if more granular data for specific material origins were available. The provided BOM focuses on processed materials, implicitly incorporating some upstream impacts in their given "Total Carbon" values.</w:t>
      </w:r>
    </w:p>
    <w:p>
      <w:pPr>
        <w:pStyle w:val="BodyText"/>
      </w:pPr>
      <w:r>
        <w:rPr>
          <w:bCs/>
          <w:b/>
        </w:rPr>
        <w:t xml:space="preserve">Scope 3 Compliance:</w:t>
      </w:r>
      <w:r>
        <w:t xml:space="preserve"> </w:t>
      </w:r>
      <w:r>
        <w:t xml:space="preserve">All identified Scope 3 categories are accounted for in this analysis, aiming for over 95% coverage as per 2026 requirements, encompassing material acquisition, transport, use phase, and end-of-life.</w:t>
      </w:r>
    </w:p>
    <w:bookmarkEnd w:id="27"/>
    <w:bookmarkStart w:id="28" w:name="review-report-hotspots-and-reliability"/>
    <w:p>
      <w:pPr>
        <w:pStyle w:val="Heading3"/>
      </w:pPr>
      <w:r>
        <w:t xml:space="preserve">1.5. Review &amp; Report (Hotspots and Reliability)</w:t>
      </w:r>
    </w:p>
    <w:p>
      <w:pPr>
        <w:pStyle w:val="FirstParagraph"/>
      </w:pPr>
      <w:r>
        <w:t xml:space="preserve">The results are reviewed to identify emission hotspots, assess data reliability, and provide actionable recommendations. All calculations are transparently presented.</w:t>
      </w:r>
    </w:p>
    <w:p>
      <w:r>
        <w:pict>
          <v:rect style="width:0;height:1.5pt" o:hralign="center" o:hrstd="t" o:hr="t"/>
        </w:pict>
      </w:r>
    </w:p>
    <w:bookmarkEnd w:id="28"/>
    <w:bookmarkEnd w:id="29"/>
    <w:bookmarkStart w:id="39" w:name="X8b4dfdbdd757b578fc2d241dd84a093caacb6c8"/>
    <w:p>
      <w:pPr>
        <w:pStyle w:val="Heading2"/>
      </w:pPr>
      <w:r>
        <w:t xml:space="preserve">2. Product Carbon Footprint (PCF) Analysis Results</w:t>
      </w:r>
    </w:p>
    <w:bookmarkStart w:id="30" w:name="X1198c8af25dd1a2ebffa686809674f976343a37"/>
    <w:p>
      <w:pPr>
        <w:pStyle w:val="Heading3"/>
      </w:pPr>
      <w:r>
        <w:t xml:space="preserve">2.1. Material Acquisition &amp; Pre-processing (Scope 3 - Upstream)</w:t>
      </w:r>
    </w:p>
    <w:p>
      <w:pPr>
        <w:pStyle w:val="FirstParagraph"/>
      </w:pPr>
      <w:r>
        <w:t xml:space="preserve">Based on the provided Detailed Bill of Materials (lwzgswfq), the total carbon emissions associated with the raw material acquisition and pre-processing of sqfzyfsdqg are directly summed from the "Total Carbon" column.</w:t>
      </w:r>
    </w:p>
    <w:p>
      <w:pPr>
        <w:numPr>
          <w:ilvl w:val="0"/>
          <w:numId w:val="1005"/>
        </w:numPr>
        <w:pStyle w:val="Compact"/>
      </w:pPr>
      <w:r>
        <w:rPr>
          <w:bCs/>
          <w:b/>
        </w:rPr>
        <w:t xml:space="preserve">Total Emissions from Materials:</w:t>
      </w:r>
      <w:r>
        <w:t xml:space="preserve"> </w:t>
      </w:r>
      <w:r>
        <w:t xml:space="preserve">30.85 kg CO2e</w:t>
      </w:r>
    </w:p>
    <w:bookmarkEnd w:id="30"/>
    <w:bookmarkStart w:id="33" w:name="manufacturing-production-phase"/>
    <w:p>
      <w:pPr>
        <w:pStyle w:val="Heading3"/>
      </w:pPr>
      <w:r>
        <w:t xml:space="preserve">2.2. Manufacturing / Production Phase</w:t>
      </w:r>
    </w:p>
    <w:p>
      <w:pPr>
        <w:pStyle w:val="FirstParagraph"/>
      </w:pPr>
      <w:r>
        <w:t xml:space="preserve">Emissions from the production phase are categorized under Scope 1 (direct emissions from owned or controlled sources) and Scope 2 (indirect emissions from purchased electricity).</w:t>
      </w:r>
    </w:p>
    <w:bookmarkStart w:id="31" w:name="scope-1-emissions"/>
    <w:p>
      <w:pPr>
        <w:pStyle w:val="Heading4"/>
      </w:pPr>
      <w:r>
        <w:t xml:space="preserve">Scope 1 Emissions</w:t>
      </w:r>
    </w:p>
    <w:p>
      <w:pPr>
        <w:pStyle w:val="FirstParagraph"/>
      </w:pPr>
      <w:r>
        <w:t xml:space="preserve">No specific data for direct on-site fuel consumption or process emissions (e.g., chemical reactions) was provided. Assuming that primary production processes rely heavily on purchased electricity and material-embedded emissions are captured upstream, Scope 1 emissions for the factory operation itself are considered negligible for this product based on current data. Further data collection would be required for a more granular Scope 1 assessment of specific manufacturing processes (e.g., combustion for heating, on-site fleet).</w:t>
      </w:r>
    </w:p>
    <w:p>
      <w:pPr>
        <w:numPr>
          <w:ilvl w:val="0"/>
          <w:numId w:val="1006"/>
        </w:numPr>
        <w:pStyle w:val="Compact"/>
      </w:pPr>
      <w:r>
        <w:rPr>
          <w:bCs/>
          <w:b/>
        </w:rPr>
        <w:t xml:space="preserve">Estimated Scope 1 Emissions (Production):</w:t>
      </w:r>
      <w:r>
        <w:t xml:space="preserve"> </w:t>
      </w:r>
      <w:r>
        <w:t xml:space="preserve">0.00 kg CO2e (Illustrative, pending further data)</w:t>
      </w:r>
    </w:p>
    <w:bookmarkEnd w:id="31"/>
    <w:bookmarkStart w:id="32" w:name="scope-2-emissions-purchased-electricity"/>
    <w:p>
      <w:pPr>
        <w:pStyle w:val="Heading4"/>
      </w:pPr>
      <w:r>
        <w:t xml:space="preserve">Scope 2 Emissions (Purchased Electricity)</w:t>
      </w:r>
    </w:p>
    <w:p>
      <w:pPr>
        <w:pStyle w:val="FirstParagraph"/>
      </w:pPr>
      <w:r>
        <w:t xml:space="preserve">The calculation uses the provided energy intensity and renewable energy usage for the production facility in China.</w:t>
      </w:r>
    </w:p>
    <w:p>
      <w:pPr>
        <w:numPr>
          <w:ilvl w:val="0"/>
          <w:numId w:val="1007"/>
        </w:numPr>
        <w:pStyle w:val="Compact"/>
      </w:pPr>
      <w:r>
        <w:t xml:space="preserve">Energy Intensity: 45 kWh/unit [cite: The value `ovodyxnvdf` was provided as 45 kWh/unit in the prompt.]</w:t>
      </w:r>
    </w:p>
    <w:p>
      <w:pPr>
        <w:numPr>
          <w:ilvl w:val="0"/>
          <w:numId w:val="1007"/>
        </w:numPr>
        <w:pStyle w:val="Compact"/>
      </w:pPr>
      <w:r>
        <w:t xml:space="preserve">Renewable Energy Usage: 65% [cite: The value `zomdjpwgxg` was provided as 65% in the prompt.]</w:t>
      </w:r>
    </w:p>
    <w:p>
      <w:pPr>
        <w:numPr>
          <w:ilvl w:val="0"/>
          <w:numId w:val="1007"/>
        </w:numPr>
        <w:pStyle w:val="Compact"/>
      </w:pPr>
      <w:r>
        <w:t xml:space="preserve">Non-renewable Electricity Consumption: 45 kWh/unit * (1 - 0.65) = 15.75 kWh/unit</w:t>
      </w:r>
    </w:p>
    <w:p>
      <w:pPr>
        <w:numPr>
          <w:ilvl w:val="0"/>
          <w:numId w:val="1007"/>
        </w:numPr>
        <w:pStyle w:val="Compact"/>
      </w:pPr>
      <w:r>
        <w:t xml:space="preserve">Illustrative China Grid Electricity Emission Factor: 0.6 kg CO2e/kWh [cite: Illustrative Factor, typically sourced from Ecoinvent/DEFRA]</w:t>
      </w:r>
    </w:p>
    <w:p>
      <w:pPr>
        <w:numPr>
          <w:ilvl w:val="0"/>
          <w:numId w:val="1007"/>
        </w:numPr>
        <w:pStyle w:val="Compact"/>
      </w:pPr>
      <w:r>
        <w:rPr>
          <w:bCs/>
          <w:b/>
        </w:rPr>
        <w:t xml:space="preserve">Scope 2 Emissions (Production):</w:t>
      </w:r>
      <w:r>
        <w:t xml:space="preserve"> </w:t>
      </w:r>
      <w:r>
        <w:t xml:space="preserve">15.75 kWh/unit * 0.6 kg CO2e/kWh = 9.45 kg CO2e</w:t>
      </w:r>
    </w:p>
    <w:bookmarkEnd w:id="32"/>
    <w:bookmarkEnd w:id="33"/>
    <w:bookmarkStart w:id="36" w:name="transport-phase-scope-3"/>
    <w:p>
      <w:pPr>
        <w:pStyle w:val="Heading3"/>
      </w:pPr>
      <w:r>
        <w:t xml:space="preserve">2.3. Transport Phase (Scope 3)</w:t>
      </w:r>
    </w:p>
    <w:p>
      <w:pPr>
        <w:pStyle w:val="FirstParagraph"/>
      </w:pPr>
      <w:r>
        <w:t xml:space="preserve">This phase includes both upstream transport of raw materials to the factory and downstream transport of the finished product to the customer.</w:t>
      </w:r>
    </w:p>
    <w:bookmarkStart w:id="34" w:name="upstream-transport-materials-to-factory"/>
    <w:p>
      <w:pPr>
        <w:pStyle w:val="Heading4"/>
      </w:pPr>
      <w:r>
        <w:t xml:space="preserve">Upstream Transport (Materials to Factory)</w:t>
      </w:r>
    </w:p>
    <w:p>
      <w:pPr>
        <w:numPr>
          <w:ilvl w:val="0"/>
          <w:numId w:val="1008"/>
        </w:numPr>
        <w:pStyle w:val="Compact"/>
      </w:pPr>
      <w:r>
        <w:t xml:space="preserve">Total Material Weight (from BOM): 8.6 kg = 0.0086 tonnes</w:t>
      </w:r>
    </w:p>
    <w:p>
      <w:pPr>
        <w:numPr>
          <w:ilvl w:val="0"/>
          <w:numId w:val="1008"/>
        </w:numPr>
        <w:pStyle w:val="Compact"/>
      </w:pPr>
      <w:r>
        <w:t xml:space="preserve">Transport Mode: Road Freight (HGV 40t+) [cite: The value `Select Mode` was provided as Road Freight (HGV 40t+) in the prompt.]</w:t>
      </w:r>
    </w:p>
    <w:p>
      <w:pPr>
        <w:numPr>
          <w:ilvl w:val="0"/>
          <w:numId w:val="1008"/>
        </w:numPr>
        <w:pStyle w:val="Compact"/>
      </w:pPr>
      <w:r>
        <w:t xml:space="preserve">Transport Distance: 1500 km [cite: The value `ejyhorrfmp` was provided as 1500 km in the prompt.]</w:t>
      </w:r>
    </w:p>
    <w:p>
      <w:pPr>
        <w:numPr>
          <w:ilvl w:val="0"/>
          <w:numId w:val="1008"/>
        </w:numPr>
        <w:pStyle w:val="Compact"/>
      </w:pPr>
      <w:r>
        <w:t xml:space="preserve">Illustrative Road Freight Emission Factor: 0.02 kg CO2e/tkm [cite: Illustrative Factor, typically sourced from Ecoinvent/DEFRA]</w:t>
      </w:r>
    </w:p>
    <w:p>
      <w:pPr>
        <w:numPr>
          <w:ilvl w:val="0"/>
          <w:numId w:val="1008"/>
        </w:numPr>
        <w:pStyle w:val="Compact"/>
      </w:pPr>
      <w:r>
        <w:rPr>
          <w:bCs/>
          <w:b/>
        </w:rPr>
        <w:t xml:space="preserve">Upstream Transport Emissions:</w:t>
      </w:r>
      <w:r>
        <w:t xml:space="preserve"> </w:t>
      </w:r>
      <w:r>
        <w:t xml:space="preserve">0.0086 tonnes * 1500 km * 0.02 kg CO2e/tkm = 0.258 kg CO2e</w:t>
      </w:r>
    </w:p>
    <w:bookmarkEnd w:id="34"/>
    <w:bookmarkStart w:id="35" w:name="Xbff8a415b6b17acbb556111cf6a5dabd0af0d79"/>
    <w:p>
      <w:pPr>
        <w:pStyle w:val="Heading4"/>
      </w:pPr>
      <w:r>
        <w:t xml:space="preserve">Downstream Transport (Last-Mile Delivery to Customer)</w:t>
      </w:r>
    </w:p>
    <w:p>
      <w:pPr>
        <w:numPr>
          <w:ilvl w:val="0"/>
          <w:numId w:val="1009"/>
        </w:numPr>
        <w:pStyle w:val="Compact"/>
      </w:pPr>
      <w:r>
        <w:t xml:space="preserve">Last-Mile Delivery Channel: Small Parcel Delivery (Van) [cite: The value `Delivery Type` was provided as Small Parcel Delivery (Van) in the prompt.]</w:t>
      </w:r>
    </w:p>
    <w:p>
      <w:pPr>
        <w:numPr>
          <w:ilvl w:val="0"/>
          <w:numId w:val="1009"/>
        </w:numPr>
        <w:pStyle w:val="Compact"/>
      </w:pPr>
      <w:r>
        <w:t xml:space="preserve">Assumed Average Last-Mile Distance: 50 km (Illustrative)</w:t>
      </w:r>
    </w:p>
    <w:p>
      <w:pPr>
        <w:numPr>
          <w:ilvl w:val="0"/>
          <w:numId w:val="1009"/>
        </w:numPr>
        <w:pStyle w:val="Compact"/>
      </w:pPr>
      <w:r>
        <w:t xml:space="preserve">Illustrative Small Parcel Delivery Emission Factor: 0.3 kg CO2e/unit (simplified for average last-mile delivery of a single unit) [cite: Illustrative Factor, typically sourced from Ecoinvent/DEFRA]</w:t>
      </w:r>
    </w:p>
    <w:p>
      <w:pPr>
        <w:numPr>
          <w:ilvl w:val="0"/>
          <w:numId w:val="1009"/>
        </w:numPr>
        <w:pStyle w:val="Compact"/>
      </w:pPr>
      <w:r>
        <w:rPr>
          <w:bCs/>
          <w:b/>
        </w:rPr>
        <w:t xml:space="preserve">Downstream Transport Emissions:</w:t>
      </w:r>
      <w:r>
        <w:t xml:space="preserve"> </w:t>
      </w:r>
      <w:r>
        <w:t xml:space="preserve">1.0 unit * 0.3 kg CO2e/unit = 0.30 kg CO2e</w:t>
      </w:r>
    </w:p>
    <w:bookmarkEnd w:id="35"/>
    <w:bookmarkEnd w:id="36"/>
    <w:bookmarkStart w:id="37" w:name="use-phase-scope-3---downstream"/>
    <w:p>
      <w:pPr>
        <w:pStyle w:val="Heading3"/>
      </w:pPr>
      <w:r>
        <w:t xml:space="preserve">2.4. Use Phase (Scope 3 - Downstream)</w:t>
      </w:r>
    </w:p>
    <w:p>
      <w:pPr>
        <w:pStyle w:val="FirstParagraph"/>
      </w:pPr>
      <w:r>
        <w:t xml:space="preserve">Emissions during the product\'s lifespan are calculated based on its energy consumption in use.</w:t>
      </w:r>
    </w:p>
    <w:p>
      <w:pPr>
        <w:numPr>
          <w:ilvl w:val="0"/>
          <w:numId w:val="1010"/>
        </w:numPr>
        <w:pStyle w:val="Compact"/>
      </w:pPr>
      <w:r>
        <w:t xml:space="preserve">Product Lifespan: 7 years [cite: The value `ifgmiuziyp` was provided as 7 years in the prompt.]</w:t>
      </w:r>
    </w:p>
    <w:p>
      <w:pPr>
        <w:numPr>
          <w:ilvl w:val="0"/>
          <w:numId w:val="1010"/>
        </w:numPr>
        <w:pStyle w:val="Compact"/>
      </w:pPr>
      <w:r>
        <w:t xml:space="preserve">Energy Consumption in Use: 12 kWh/year [cite: The value `ztltmddtmt` was provided as 12 kWh/year in the prompt.]</w:t>
      </w:r>
    </w:p>
    <w:p>
      <w:pPr>
        <w:numPr>
          <w:ilvl w:val="0"/>
          <w:numId w:val="1010"/>
        </w:numPr>
        <w:pStyle w:val="Compact"/>
      </w:pPr>
      <w:r>
        <w:t xml:space="preserve">Total Energy Consumption over Lifespan: 12 kWh/year * 7 years = 84 kWh</w:t>
      </w:r>
    </w:p>
    <w:p>
      <w:pPr>
        <w:numPr>
          <w:ilvl w:val="0"/>
          <w:numId w:val="1010"/>
        </w:numPr>
        <w:pStyle w:val="Compact"/>
      </w:pPr>
      <w:r>
        <w:t xml:space="preserve">Illustrative Global Average Grid Electricity Emission Factor: 0.3 kg CO2e/kWh [cite: Illustrative Factor, typically sourced from Ecoinvent/DEFRA]</w:t>
      </w:r>
    </w:p>
    <w:p>
      <w:pPr>
        <w:numPr>
          <w:ilvl w:val="0"/>
          <w:numId w:val="1010"/>
        </w:numPr>
        <w:pStyle w:val="Compact"/>
      </w:pPr>
      <w:r>
        <w:rPr>
          <w:bCs/>
          <w:b/>
        </w:rPr>
        <w:t xml:space="preserve">Use Phase Emissions:</w:t>
      </w:r>
      <w:r>
        <w:t xml:space="preserve"> </w:t>
      </w:r>
      <w:r>
        <w:t xml:space="preserve">84 kWh * 0.3 kg CO2e/kWh = 25.20 kg CO2e</w:t>
      </w:r>
    </w:p>
    <w:bookmarkEnd w:id="37"/>
    <w:bookmarkStart w:id="38" w:name="X92fbc61eed99b9d9aafbebcbbd2c7ad7660f7e4"/>
    <w:p>
      <w:pPr>
        <w:pStyle w:val="Heading3"/>
      </w:pPr>
      <w:r>
        <w:t xml:space="preserve">2.5. End-of-Life (EoL) Phase (Scope 3 - Downstream)</w:t>
      </w:r>
    </w:p>
    <w:p>
      <w:pPr>
        <w:pStyle w:val="FirstParagraph"/>
      </w:pPr>
      <w:r>
        <w:t xml:space="preserve">The end-of-life scenario considers recyclability and circular economy programs.</w:t>
      </w:r>
    </w:p>
    <w:p>
      <w:pPr>
        <w:numPr>
          <w:ilvl w:val="0"/>
          <w:numId w:val="1011"/>
        </w:numPr>
        <w:pStyle w:val="Compact"/>
      </w:pPr>
      <w:r>
        <w:t xml:space="preserve">Recyclability Percentage: 75% [cite: The value `gyivvnxysz` was provided as 75% in the prompt.]</w:t>
      </w:r>
    </w:p>
    <w:p>
      <w:pPr>
        <w:numPr>
          <w:ilvl w:val="0"/>
          <w:numId w:val="1011"/>
        </w:numPr>
        <w:pStyle w:val="Compact"/>
      </w:pPr>
      <w:r>
        <w:t xml:space="preserve">Circular/Take-back Programs: Active take-back program in place [cite: The value `ueryjikmmi` was provided as Active take-back program in place in the prompt.]</w:t>
      </w:r>
    </w:p>
    <w:p>
      <w:pPr>
        <w:numPr>
          <w:ilvl w:val="0"/>
          <w:numId w:val="1011"/>
        </w:numPr>
        <w:pStyle w:val="Compact"/>
      </w:pPr>
      <w:r>
        <w:t xml:space="preserve">Total Product Weight (from BOM): 8.6 kg</w:t>
      </w:r>
    </w:p>
    <w:p>
      <w:pPr>
        <w:numPr>
          <w:ilvl w:val="0"/>
          <w:numId w:val="1011"/>
        </w:numPr>
        <w:pStyle w:val="Compact"/>
      </w:pPr>
      <w:r>
        <w:t xml:space="preserve">Weight Recycled: 8.6 kg * 0.75 = 6.45 kg</w:t>
      </w:r>
    </w:p>
    <w:p>
      <w:pPr>
        <w:numPr>
          <w:ilvl w:val="0"/>
          <w:numId w:val="1011"/>
        </w:numPr>
        <w:pStyle w:val="Compact"/>
      </w:pPr>
      <w:r>
        <w:t xml:space="preserve">Weight Disposed (Landfill/Incineration): 8.6 kg * (1 - 0.75) = 2.15 kg</w:t>
      </w:r>
    </w:p>
    <w:p>
      <w:pPr>
        <w:numPr>
          <w:ilvl w:val="0"/>
          <w:numId w:val="1011"/>
        </w:numPr>
        <w:pStyle w:val="Compact"/>
      </w:pPr>
      <w:r>
        <w:t xml:space="preserve">Illustrative EoL Emission Factor (Disposal): 1.5 kg CO2e/kg [cite: Illustrative Factor, typically sourced from Ecoinvent/DEFRA]</w:t>
      </w:r>
    </w:p>
    <w:p>
      <w:pPr>
        <w:numPr>
          <w:ilvl w:val="0"/>
          <w:numId w:val="1011"/>
        </w:numPr>
        <w:pStyle w:val="Compact"/>
      </w:pPr>
      <w:r>
        <w:t xml:space="preserve">Illustrative Avoided Emissions Factor (Recycling): -1.0 kg CO2e/kg [cite: Illustrative Factor, typically sourced from Ecoinvent/DEFRA]</w:t>
      </w:r>
    </w:p>
    <w:p>
      <w:pPr>
        <w:numPr>
          <w:ilvl w:val="0"/>
          <w:numId w:val="1011"/>
        </w:numPr>
        <w:pStyle w:val="Compact"/>
      </w:pPr>
      <w:r>
        <w:t xml:space="preserve">Emissions from Disposal: 2.15 kg * 1.5 kg CO2e/kg = 3.225 kg CO2e</w:t>
      </w:r>
    </w:p>
    <w:p>
      <w:pPr>
        <w:numPr>
          <w:ilvl w:val="0"/>
          <w:numId w:val="1011"/>
        </w:numPr>
        <w:pStyle w:val="Compact"/>
      </w:pPr>
      <w:r>
        <w:t xml:space="preserve">Avoided Emissions from Recycling: 6.45 kg * -1.0 kg CO2e/kg = -6.45 kg CO2e</w:t>
      </w:r>
    </w:p>
    <w:p>
      <w:pPr>
        <w:numPr>
          <w:ilvl w:val="0"/>
          <w:numId w:val="1011"/>
        </w:numPr>
        <w:pStyle w:val="Compact"/>
      </w:pPr>
      <w:r>
        <w:rPr>
          <w:bCs/>
          <w:b/>
        </w:rPr>
        <w:t xml:space="preserve">Total EoL Emissions:</w:t>
      </w:r>
      <w:r>
        <w:t xml:space="preserve"> </w:t>
      </w:r>
      <w:r>
        <w:t xml:space="preserve">3.225 kg CO2e - 6.45 kg CO2e = -3.225 kg CO2e (net carbon sink due to high recyclability and avoided emissions)</w:t>
      </w:r>
    </w:p>
    <w:p>
      <w:pPr>
        <w:pStyle w:val="FirstParagraph"/>
      </w:pPr>
      <w:r>
        <w:t xml:space="preserve">The presence of an active take-back program further enhances the circularity and potential for material recovery, reinforcing the avoided emissions through recycling.</w:t>
      </w:r>
    </w:p>
    <w:p>
      <w:r>
        <w:pict>
          <v:rect style="width:0;height:1.5pt" o:hralign="center" o:hrstd="t" o:hr="t"/>
        </w:pict>
      </w:r>
    </w:p>
    <w:bookmarkEnd w:id="38"/>
    <w:bookmarkEnd w:id="39"/>
    <w:bookmarkStart w:id="43" w:name="X299a3717db401fbc63eac38de0814f3ad8939f4"/>
    <w:p>
      <w:pPr>
        <w:pStyle w:val="Heading2"/>
      </w:pPr>
      <w:r>
        <w:t xml:space="preserve">3. Total Product Carbon Footprint (PCF) Summary</w:t>
      </w:r>
    </w:p>
    <w:p>
      <w:pPr>
        <w:pStyle w:val="FirstParagraph"/>
      </w:pPr>
      <w:r>
        <w:t xml:space="preserve">The total Product Carbon Footprint for 1.0 unit of sqfzyfsdqg is the sum of emissions across all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30.85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9.45</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0.26</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-3.23</w:t>
            </w:r>
          </w:p>
        </w:tc>
      </w:tr>
    </w:tbl>
    <w:bookmarkStart w:id="40" w:name="overall-pcf"/>
    <w:p>
      <w:pPr>
        <w:pStyle w:val="Heading3"/>
      </w:pPr>
      <w:r>
        <w:t xml:space="preserve">Overall PCF:</w:t>
      </w:r>
    </w:p>
    <w:p>
      <w:pPr>
        <w:numPr>
          <w:ilvl w:val="0"/>
          <w:numId w:val="1012"/>
        </w:numPr>
        <w:pStyle w:val="Compact"/>
      </w:pPr>
      <w:r>
        <w:rPr>
          <w:bCs/>
          <w:b/>
        </w:rPr>
        <w:t xml:space="preserve">Total Product Carbon Footprint for sqfzyfsdqg:</w:t>
      </w:r>
      <w:r>
        <w:t xml:space="preserve"> </w:t>
      </w:r>
      <w:r>
        <w:t xml:space="preserve">30.85 + 0.00 + 9.45 + 0.26 + 0.30 + 25.20 - 3.23 = 62.83 kg CO2e per unit</w:t>
      </w:r>
    </w:p>
    <w:bookmarkEnd w:id="40"/>
    <w:bookmarkStart w:id="41" w:name="emission-hotspots"/>
    <w:p>
      <w:pPr>
        <w:pStyle w:val="Heading3"/>
      </w:pPr>
      <w:r>
        <w:t xml:space="preserve">Emission Hotspots</w:t>
      </w:r>
    </w:p>
    <w:p>
      <w:pPr>
        <w:pStyle w:val="FirstParagraph"/>
      </w:pPr>
      <w:r>
        <w:t xml:space="preserve">Based on this analysis, the primary emission hotspots for sqfzyfsdqg are:</w:t>
      </w:r>
    </w:p>
    <w:p>
      <w:pPr>
        <w:numPr>
          <w:ilvl w:val="0"/>
          <w:numId w:val="1013"/>
        </w:numPr>
        <w:pStyle w:val="Compact"/>
      </w:pPr>
      <w:r>
        <w:rPr>
          <w:bCs/>
          <w:b/>
        </w:rPr>
        <w:t xml:space="preserve">Material Acquisition &amp; Pre-processing:</w:t>
      </w:r>
      <w:r>
        <w:t xml:space="preserve"> </w:t>
      </w:r>
      <w:r>
        <w:t xml:space="preserve">Accounting for a significant portion (approx. 49%) of the total PCF, largely driven by the high carbon footprint of aluminum and steel.</w:t>
      </w:r>
    </w:p>
    <w:p>
      <w:pPr>
        <w:numPr>
          <w:ilvl w:val="0"/>
          <w:numId w:val="1013"/>
        </w:numPr>
        <w:pStyle w:val="Compact"/>
      </w:pPr>
      <w:r>
        <w:rPr>
          <w:bCs/>
          <w:b/>
        </w:rPr>
        <w:t xml:space="preserve">Use Phase:</w:t>
      </w:r>
      <w:r>
        <w:t xml:space="preserve"> </w:t>
      </w:r>
      <w:r>
        <w:t xml:space="preserve">Representing approximately 40% of the total PCF, primarily due to the energy consumption of the product over its 7-year lifespan.</w:t>
      </w:r>
    </w:p>
    <w:p>
      <w:pPr>
        <w:numPr>
          <w:ilvl w:val="0"/>
          <w:numId w:val="1013"/>
        </w:numPr>
        <w:pStyle w:val="Compact"/>
      </w:pPr>
      <w:r>
        <w:rPr>
          <w:bCs/>
          <w:b/>
        </w:rPr>
        <w:t xml:space="preserve">Manufacturing (Scope 2):</w:t>
      </w:r>
      <w:r>
        <w:t xml:space="preserve"> </w:t>
      </w:r>
      <w:r>
        <w:t xml:space="preserve">Contributes about 15% of the total, indicating that while renewable energy usage is at 65%, there is still a notable impact from grid electricity.</w:t>
      </w:r>
    </w:p>
    <w:bookmarkEnd w:id="41"/>
    <w:bookmarkStart w:id="42" w:name="ghg-protocol-scope-breakdown"/>
    <w:p>
      <w:pPr>
        <w:pStyle w:val="Heading3"/>
      </w:pPr>
      <w:r>
        <w:t xml:space="preserve">GHG Protocol Scope Breakdown</w:t>
      </w:r>
    </w:p>
    <w:p>
      <w:pPr>
        <w:numPr>
          <w:ilvl w:val="0"/>
          <w:numId w:val="1014"/>
        </w:numPr>
        <w:pStyle w:val="Compact"/>
      </w:pPr>
      <w:r>
        <w:rPr>
          <w:bCs/>
          <w:b/>
        </w:rPr>
        <w:t xml:space="preserve">Scope 1 Emissions:</w:t>
      </w:r>
      <w:r>
        <w:t xml:space="preserve"> </w:t>
      </w:r>
      <w:r>
        <w:t xml:space="preserve">0.00 kg CO2e (0%)</w:t>
      </w:r>
    </w:p>
    <w:p>
      <w:pPr>
        <w:numPr>
          <w:ilvl w:val="0"/>
          <w:numId w:val="1014"/>
        </w:numPr>
        <w:pStyle w:val="Compact"/>
      </w:pPr>
      <w:r>
        <w:rPr>
          <w:bCs/>
          <w:b/>
        </w:rPr>
        <w:t xml:space="preserve">Scope 2 Emissions:</w:t>
      </w:r>
      <w:r>
        <w:t xml:space="preserve"> </w:t>
      </w:r>
      <w:r>
        <w:t xml:space="preserve">9.45 kg CO2e (15%)</w:t>
      </w:r>
    </w:p>
    <w:p>
      <w:pPr>
        <w:numPr>
          <w:ilvl w:val="0"/>
          <w:numId w:val="1014"/>
        </w:numPr>
        <w:pStyle w:val="Compact"/>
      </w:pPr>
      <w:r>
        <w:rPr>
          <w:bCs/>
          <w:b/>
        </w:rPr>
        <w:t xml:space="preserve">Scope 3 Emissions:</w:t>
      </w:r>
      <w:r>
        <w:t xml:space="preserve"> </w:t>
      </w:r>
      <w:r>
        <w:t xml:space="preserve">30.85 (Materials) + 0.26 (Upstream Transport) + 0.30 (Downstream Transport) + 25.20 (Use Phase) - 3.23 (EoL) = 53.38 kg CO2e (85%)</w:t>
      </w:r>
    </w:p>
    <w:p>
      <w:pPr>
        <w:pStyle w:val="FirstParagraph"/>
      </w:pPr>
      <w:r>
        <w:t xml:space="preserve">The Scope 3 coverage (85%) is robust, though it falls slightly short of the 95% target. This indicates a need for deeper analysis into minor components, consumables, or services that might contribute to the remaining 10% of emissions. For instance, business travel, waste generated in operations, or capital goods were not explicitly included in this analysis but are part of Scope 3.</w:t>
      </w:r>
    </w:p>
    <w:p>
      <w:r>
        <w:pict>
          <v:rect style="width:0;height:1.5pt" o:hralign="center" o:hrstd="t" o:hr="t"/>
        </w:pict>
      </w:r>
    </w:p>
    <w:bookmarkEnd w:id="42"/>
    <w:bookmarkEnd w:id="43"/>
    <w:bookmarkStart w:id="44" w:name="recommendations-for-carbon-reduction"/>
    <w:p>
      <w:pPr>
        <w:pStyle w:val="Heading2"/>
      </w:pPr>
      <w:r>
        <w:t xml:space="preserve">4. Recommendations for Carbon Reduction</w:t>
      </w:r>
    </w:p>
    <w:p>
      <w:pPr>
        <w:numPr>
          <w:ilvl w:val="0"/>
          <w:numId w:val="1015"/>
        </w:numPr>
        <w:pStyle w:val="Compact"/>
      </w:pPr>
      <w:r>
        <w:rPr>
          <w:bCs/>
          <w:b/>
        </w:rPr>
        <w:t xml:space="preserve">Material Optimization:</w:t>
      </w:r>
      <w:r>
        <w:t xml:space="preserve"> </w:t>
      </w:r>
      <w:r>
        <w:t xml:space="preserve">Explore alternative, lower-carbon materials for high-impact components like aluminum and steel. Investigate opportunities for increased recycled content in these materials.</w:t>
      </w:r>
    </w:p>
    <w:p>
      <w:pPr>
        <w:numPr>
          <w:ilvl w:val="0"/>
          <w:numId w:val="1015"/>
        </w:numPr>
        <w:pStyle w:val="Compact"/>
      </w:pPr>
      <w:r>
        <w:rPr>
          <w:bCs/>
          <w:b/>
        </w:rPr>
        <w:t xml:space="preserve">Energy Efficiency in Use:</w:t>
      </w:r>
      <w:r>
        <w:t xml:space="preserve"> </w:t>
      </w:r>
      <w:r>
        <w:t xml:space="preserve">Design improvements to reduce the product\'s energy consumption during its use phase (ztltmddtmt). Promote energy-efficient usage practices to end-users.</w:t>
      </w:r>
    </w:p>
    <w:p>
      <w:pPr>
        <w:numPr>
          <w:ilvl w:val="0"/>
          <w:numId w:val="1015"/>
        </w:numPr>
        <w:pStyle w:val="Compact"/>
      </w:pPr>
      <w:r>
        <w:rPr>
          <w:bCs/>
          <w:b/>
        </w:rPr>
        <w:t xml:space="preserve">Renewable Energy Sourcing:</w:t>
      </w:r>
      <w:r>
        <w:t xml:space="preserve"> </w:t>
      </w:r>
      <w:r>
        <w:t xml:space="preserve">Increase the percentage of renewable energy (zomdjpwgxg) used in manufacturing beyond the current 65% to further reduce Scope 2 emissions. This could involve direct renewable energy investments or purchasing high-quality Renewable Energy Certificates (RECs).</w:t>
      </w:r>
    </w:p>
    <w:p>
      <w:pPr>
        <w:numPr>
          <w:ilvl w:val="0"/>
          <w:numId w:val="1015"/>
        </w:numPr>
        <w:pStyle w:val="Compact"/>
      </w:pPr>
      <w:r>
        <w:rPr>
          <w:bCs/>
          <w:b/>
        </w:rPr>
        <w:t xml:space="preserve">Supply Chain Engagement:</w:t>
      </w:r>
      <w:r>
        <w:t xml:space="preserve"> </w:t>
      </w:r>
      <w:r>
        <w:t xml:space="preserve">Work with suppliers to understand and reduce the carbon footprint of raw materials (further detail on BOM "Emission Factor" data), particularly for high-volume or high-impact components.</w:t>
      </w:r>
    </w:p>
    <w:p>
      <w:pPr>
        <w:numPr>
          <w:ilvl w:val="0"/>
          <w:numId w:val="1015"/>
        </w:numPr>
        <w:pStyle w:val="Compact"/>
      </w:pPr>
      <w:r>
        <w:rPr>
          <w:bCs/>
          <w:b/>
        </w:rPr>
        <w:t xml:space="preserve">Circular Economy Expansion:</w:t>
      </w:r>
      <w:r>
        <w:t xml:space="preserve"> </w:t>
      </w:r>
      <w:r>
        <w:t xml:space="preserve">Strengthen the existing take-back programs (ueryjikmmi) to ensure maximum material recovery and closed-loop recycling, further enhancing avoided emissions at end-of-life. Explore options for product-as-a-service models or extended product responsibility.</w:t>
      </w:r>
    </w:p>
    <w:p>
      <w:pPr>
        <w:numPr>
          <w:ilvl w:val="0"/>
          <w:numId w:val="1015"/>
        </w:numPr>
        <w:pStyle w:val="Compact"/>
      </w:pPr>
      <w:r>
        <w:rPr>
          <w:bCs/>
          <w:b/>
        </w:rPr>
        <w:t xml:space="preserve">Data Granularity for Scope 3:</w:t>
      </w:r>
      <w:r>
        <w:t xml:space="preserve"> </w:t>
      </w:r>
      <w:r>
        <w:t xml:space="preserve">Conduct further data collection for less prominent Scope 3 categories (e.g., business travel, employee commuting, waste from operations) to achieve the 95% coverage target.</w:t>
      </w:r>
    </w:p>
    <w:p>
      <w:r>
        <w:pict>
          <v:rect style="width:0;height:1.5pt" o:hralign="center" o:hrstd="t" o:hr="t"/>
        </w:pict>
      </w:r>
    </w:p>
    <w:p>
      <w:pPr>
        <w:pStyle w:val="FirstParagraph"/>
      </w:pPr>
      <w:r>
        <w:t xml:space="preserve">Confidential - Internal Use Only | nuusngmlft, Senior Sustainability Consultant | wgosrjsnkr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sqfzyfsdqg</dc:title>
  <dc:creator/>
  <dc:description>Detailed Product Carbon Footprint (PCF) analysis report for sqfzyfsdqg by nuusngmlft, a Senior Sustainability Consultant for wgosrjsnkr, adhering to GHG Protocol and 2026 LSR updates.</dc:description>
  <dc:language>en</dc:language>
  <cp:keywords/>
  <dcterms:created xsi:type="dcterms:W3CDTF">2026-07-14T23:51:36Z</dcterms:created>
  <dcterms:modified xsi:type="dcterms:W3CDTF">2026-07-14T23:51:36Z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