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snjfiiwhjz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snjfiiwhjz</w:t>
      </w:r>
    </w:p>
    <w:p>
      <w:pPr>
        <w:pStyle w:val="BodyText"/>
      </w:pPr>
      <w:r>
        <w:t xml:space="preserve">Company Name:</w:t>
      </w:r>
      <w:r>
        <w:t xml:space="preserve"> </w:t>
      </w:r>
      <w:r>
        <w:rPr>
          <w:bCs/>
          <w:b/>
        </w:rPr>
        <w:t xml:space="preserve">tyiopgrmjq</w:t>
      </w:r>
    </w:p>
    <w:p>
      <w:pPr>
        <w:pStyle w:val="BodyText"/>
      </w:pPr>
      <w:r>
        <w:t xml:space="preserve">Senior Sustainability Consultant:</w:t>
      </w:r>
      <w:r>
        <w:t xml:space="preserve"> </w:t>
      </w:r>
      <w:r>
        <w:rPr>
          <w:bCs/>
          <w:b/>
        </w:rPr>
        <w:t xml:space="preserve">gyniqrpeww</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industry standards, and specific parameters provided by the user. Actual emissions may vary based on precise operational data and real-world conditions.</w:t>
      </w:r>
    </w:p>
    <w:bookmarkEnd w:id="20"/>
    <w:bookmarkStart w:id="21" w:name="X4dfc671cabfdf0ab5ae42e3fe87026c7a9a07b6"/>
    <w:p>
      <w:pPr>
        <w:pStyle w:val="Heading1"/>
      </w:pPr>
      <w:r>
        <w:t xml:space="preserve">Product Carbon Footprint Analysis Report: snjfiiwhjz</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snjfiiwhjz</w:t>
      </w:r>
      <w:r>
        <w:t xml:space="preserve">, manufactured by</w:t>
      </w:r>
      <w:r>
        <w:t xml:space="preserve"> </w:t>
      </w:r>
      <w:r>
        <w:rPr>
          <w:bCs/>
          <w:b/>
        </w:rPr>
        <w:t xml:space="preserve">tyiopgrmjq</w:t>
      </w:r>
      <w:r>
        <w:t xml:space="preserve">. The analysis adheres to the Greenhouse Gas (GHG) Protocol, specifically incorporating the 2026 Land Sector and Removals (LSR) Standard updates for land use and carbon removals, and aims for at least 95% coverage for Scope 3 reporting as per 2026 requirements. Conducted by Senior Sustainability Consultant</w:t>
      </w:r>
      <w:r>
        <w:t xml:space="preserve"> </w:t>
      </w:r>
      <w:r>
        <w:rPr>
          <w:bCs/>
          <w:b/>
        </w:rPr>
        <w:t xml:space="preserve">gyniqrpeww</w:t>
      </w:r>
      <w:r>
        <w:t xml:space="preserve">, this assessment quantifies the greenhouse gas emissions across the product\'s lifecycle from raw material acquisition (cradle) to end-of-life (grave) with a defined system boundary of \'factory_gate\' for initial production. The primary goal is to identify emission hotspots and provide a robust carbon footprint assessment to inform sustainability strategies.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snjfiiwhjz</w:t>
      </w:r>
      <w:r>
        <w:t xml:space="preserve"> </w:t>
      </w:r>
      <w:r>
        <w:t xml:space="preserve">follows a systematic approach based on the GHG Protocol standards. This methodology ensures consistency, transparency, and comparability of the carbon footprint results.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snjfiiwhjz</w:t>
      </w:r>
      <w:r>
        <w:t xml:space="preserve">. This is the reference unit to which all inputs and outputs are related.</w:t>
      </w:r>
    </w:p>
    <w:p>
      <w:pPr>
        <w:numPr>
          <w:ilvl w:val="0"/>
          <w:numId w:val="1001"/>
        </w:numPr>
        <w:pStyle w:val="Compact"/>
      </w:pPr>
      <w:r>
        <w:rPr>
          <w:bCs/>
          <w:b/>
        </w:rPr>
        <w:t xml:space="preserve">System Boundary:</w:t>
      </w:r>
      <w:r>
        <w:t xml:space="preserve"> </w:t>
      </w:r>
      <w:r>
        <w:t xml:space="preserve">The analysis adopts a "Cradle-to-Grave" approach, covering raw material acquisition, manufacturing, transport, use phase, and end-of-life treatment. For the primary production phase, a \'factory_gate\' boundary is applied, meaning emissions within tyiopgrmjq\'s direct operational control. Upstream and downstream emissions are categorized under Scope 3.</w:t>
      </w:r>
    </w:p>
    <w:p>
      <w:pPr>
        <w:numPr>
          <w:ilvl w:val="0"/>
          <w:numId w:val="1001"/>
        </w:numPr>
        <w:pStyle w:val="Compact"/>
      </w:pPr>
      <w:r>
        <w:rPr>
          <w:bCs/>
          <w:b/>
        </w:rPr>
        <w:t xml:space="preserve">Geographic Scope:</w:t>
      </w:r>
      <w:r>
        <w:t xml:space="preserve"> </w:t>
      </w:r>
      <w:r>
        <w:t xml:space="preserve">Final production country is China, with a supply chain focus on Europe for inbound logistics.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energy), relevant allocation rules based on mass, economic value, or physical causality are applied where necessary.</w:t>
      </w:r>
    </w:p>
    <w:bookmarkEnd w:id="23"/>
    <w:bookmarkStart w:id="24" w:name="accounting-standard"/>
    <w:p>
      <w:pPr>
        <w:pStyle w:val="Heading3"/>
      </w:pPr>
      <w:r>
        <w:t xml:space="preserve">2.2. Accounting Standard</w:t>
      </w:r>
    </w:p>
    <w:p>
      <w:pPr>
        <w:pStyle w:val="FirstParagraph"/>
      </w:pPr>
      <w:r>
        <w:t xml:space="preserve">This PCF analysis strictly adheres to the</w:t>
      </w:r>
      <w:r>
        <w:t xml:space="preserve"> </w:t>
      </w:r>
      <w:r>
        <w:rPr>
          <w:bCs/>
          <w:b/>
        </w:rPr>
        <w:t xml:space="preserve">GHG Protocol</w:t>
      </w:r>
      <w:r>
        <w:t xml:space="preserve">, the world\'s most widely used greenhouse gas accounting standards. Emissions are categorized into three scopes to distinguish direct and indirect emissions along the value chain:</w:t>
      </w:r>
    </w:p>
    <w:p>
      <w:pPr>
        <w:numPr>
          <w:ilvl w:val="0"/>
          <w:numId w:val="1002"/>
        </w:numPr>
        <w:pStyle w:val="Compact"/>
      </w:pPr>
      <w:r>
        <w:rPr>
          <w:bCs/>
          <w:b/>
        </w:rPr>
        <w:t xml:space="preserve">Scope 1 (Direct Emissions):</w:t>
      </w:r>
      <w:r>
        <w:t xml:space="preserve"> </w:t>
      </w:r>
      <w:r>
        <w:t xml:space="preserve">Emissions from sources owned or controlled by</w:t>
      </w:r>
      <w:r>
        <w:t xml:space="preserve"> </w:t>
      </w:r>
      <w:r>
        <w:rPr>
          <w:bCs/>
          <w:b/>
        </w:rPr>
        <w:t xml:space="preserve">tyiopgrmjq</w:t>
      </w:r>
      <w:r>
        <w:t xml:space="preserve"> </w:t>
      </w:r>
      <w:r>
        <w:t xml:space="preserve">(e.g., fuel combustion in company vehicles or facilities).</w:t>
      </w:r>
    </w:p>
    <w:p>
      <w:pPr>
        <w:numPr>
          <w:ilvl w:val="0"/>
          <w:numId w:val="1002"/>
        </w:numPr>
        <w:pStyle w:val="Compact"/>
      </w:pPr>
      <w:r>
        <w:rPr>
          <w:bCs/>
          <w:b/>
        </w:rPr>
        <w:t xml:space="preserve">Scope 2 (Purchased Energy Emissions):</w:t>
      </w:r>
      <w:r>
        <w:t xml:space="preserve"> </w:t>
      </w:r>
      <w:r>
        <w:t xml:space="preserve">Indirect emissions from the generation of purchased electricity, steam, heat, or cooling consumed by</w:t>
      </w:r>
      <w:r>
        <w:t xml:space="preserve"> </w:t>
      </w:r>
      <w:r>
        <w:rPr>
          <w:bCs/>
          <w:b/>
        </w:rPr>
        <w:t xml:space="preserve">tyiopgrmjq</w:t>
      </w:r>
      <w:r>
        <w:t xml:space="preserve">.</w:t>
      </w:r>
    </w:p>
    <w:p>
      <w:pPr>
        <w:numPr>
          <w:ilvl w:val="0"/>
          <w:numId w:val="1002"/>
        </w:numPr>
        <w:pStyle w:val="Compact"/>
      </w:pPr>
      <w:r>
        <w:rPr>
          <w:bCs/>
          <w:b/>
        </w:rPr>
        <w:t xml:space="preserve">Scope 3 (Value Chain Emissions):</w:t>
      </w:r>
      <w:r>
        <w:t xml:space="preserve"> </w:t>
      </w:r>
      <w:r>
        <w:t xml:space="preserve">All other indirect emissions that occur in the value chain of</w:t>
      </w:r>
      <w:r>
        <w:t xml:space="preserve"> </w:t>
      </w:r>
      <w:r>
        <w:rPr>
          <w:bCs/>
          <w:b/>
        </w:rPr>
        <w:t xml:space="preserve">tyiopgrmjq</w:t>
      </w:r>
      <w:r>
        <w:t xml:space="preserve">, both upstream and downstream. These typically represent the majority of a company\'s total carbon footprint.</w:t>
      </w:r>
    </w:p>
    <w:bookmarkEnd w:id="24"/>
    <w:bookmarkStart w:id="25" w:name="lsr-update-application"/>
    <w:p>
      <w:pPr>
        <w:pStyle w:val="Heading3"/>
      </w:pPr>
      <w:r>
        <w:t xml:space="preserve">2.3. 2026 LSR Update Application</w:t>
      </w:r>
    </w:p>
    <w:p>
      <w:pPr>
        <w:pStyle w:val="FirstParagraph"/>
      </w:pPr>
      <w:r>
        <w:t xml:space="preserve">The analysis incorporates the GHG Protocol\'s Land Sector and Removals (LSR) Standard, which was released on January 30, 2026, and takes effect on January 1, 2027. This standard provides accounting requirements and guidance for quantifying, reporting, and tracking land emissions, CO₂ removals, and emissions from biogenic products. Although a full guidance document is expected in Q2 2026, the principles related to land use change, land management emissions, and technological CO₂ removals are acknowledged and applied where relevant data becomes available, particularly for biogenic materials or if the supply chain involves significant agricultural or forestry inputs.</w:t>
      </w:r>
    </w:p>
    <w:bookmarkEnd w:id="25"/>
    <w:bookmarkStart w:id="26" w:name="scope-3-compliance-2026-requirements"/>
    <w:p>
      <w:pPr>
        <w:pStyle w:val="Heading3"/>
      </w:pPr>
      <w:r>
        <w:t xml:space="preserve">2.4. Scope 3 Compliance (2026 Requirements)</w:t>
      </w:r>
    </w:p>
    <w:p>
      <w:pPr>
        <w:pStyle w:val="FirstParagraph"/>
      </w:pPr>
      <w:r>
        <w:t xml:space="preserve">A critical objective of this report is to ensure at least 95% coverage for total required Scope 3 emissions. This aligns with the proposed revisions to the GHG Protocol\'s Scope 3 Standard, which aims to enhance completeness, consistency, transparency, and comparability of inventories by setting a quantitative threshold for inclusions and limiting exclusions to a maximum of 5%. This report outlines the data collection efforts to meet this stringent requirement.</w:t>
      </w:r>
    </w:p>
    <w:p>
      <w:r>
        <w:pict>
          <v:rect style="width:0;height:1.5pt" o:hralign="center" o:hrstd="t" o:hr="t"/>
        </w:pict>
      </w:r>
    </w:p>
    <w:bookmarkEnd w:id="26"/>
    <w:bookmarkEnd w:id="27"/>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lifecycle stage of</w:t>
      </w:r>
      <w:r>
        <w:t xml:space="preserve"> </w:t>
      </w:r>
      <w:r>
        <w:rPr>
          <w:bCs/>
          <w:b/>
        </w:rPr>
        <w:t xml:space="preserve">snjfiiwhjz</w:t>
      </w:r>
      <w:r>
        <w:t xml:space="preserve">. Where specific values were provided as placeholders, illustrative numerical values have been assumed for calculation purposes, and this is explicitly noted.</w:t>
      </w:r>
    </w:p>
    <w:bookmarkStart w:id="28" w:name="X3bfa27b93e211d8f075e247b8f3fea419a86975"/>
    <w:p>
      <w:pPr>
        <w:pStyle w:val="Heading3"/>
      </w:pPr>
      <w:r>
        <w:t xml:space="preserve">3.1. Detailed Bill of Materials (BOM) for snjfiiwhjz (Illustrative Data)</w:t>
      </w:r>
    </w:p>
    <w:p>
      <w:pPr>
        <w:pStyle w:val="FirstParagraph"/>
      </w:pPr>
      <w:r>
        <w:t xml:space="preserve">The following detailed Bill of Materials (BOM) (derived from parameter `eggfdzix`) forms the basis for the material impact calculation in the upstream (Scope 3, Category 1: Purchased Goods and Services) phase. The "Total Carbon" represents the emissions from the production of the raw material, based on its quantity and specific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2.2</w:t>
            </w:r>
          </w:p>
        </w:tc>
        <w:tc>
          <w:tcPr/>
          <w:p>
            <w:pPr>
              <w:pStyle w:val="Compact"/>
              <w:jc w:val="left"/>
            </w:pPr>
            <w:r>
              <w:t xml:space="preserve">0.330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gridSpan w:val="7"/>
          </w:tcPr>
          <w:p>
            <w:pPr>
              <w:pStyle w:val="Compact"/>
              <w:jc w:val="right"/>
            </w:pPr>
            <w:r>
              <w:t xml:space="preserve">Total Material Emissions:</w:t>
            </w:r>
          </w:p>
        </w:tc>
        <w:tc>
          <w:tcPr/>
          <w:p>
            <w:pPr>
              <w:pStyle w:val="Compact"/>
              <w:jc w:val="left"/>
            </w:pPr>
            <w:r>
              <w:rPr>
                <w:bCs/>
                <w:b/>
              </w:rPr>
              <w:t xml:space="preserve">3.935 kg CO2e</w:t>
            </w:r>
          </w:p>
        </w:tc>
      </w:tr>
    </w:tbl>
    <w:p>
      <w:pPr>
        <w:pStyle w:val="BodyText"/>
      </w:pPr>
      <w:r>
        <w:rPr>
          <w:iCs/>
          <w:i/>
        </w:rPr>
        <w:t xml:space="preserve">Note: For the purpose of this illustrative report, the \'Qty\' for PCB is treated as a unit, and its emission factor is per unit. Total mass for EoL calculation will be a separate assumption.</w:t>
      </w:r>
    </w:p>
    <w:bookmarkEnd w:id="28"/>
    <w:bookmarkStart w:id="29" w:name="energy-inputs-production-phase---scope-2"/>
    <w:p>
      <w:pPr>
        <w:pStyle w:val="Heading3"/>
      </w:pPr>
      <w:r>
        <w:t xml:space="preserve">3.2. Energy Inputs (Production Phase - Scope 2)</w:t>
      </w:r>
    </w:p>
    <w:p>
      <w:pPr>
        <w:numPr>
          <w:ilvl w:val="0"/>
          <w:numId w:val="1003"/>
        </w:numPr>
        <w:pStyle w:val="Compact"/>
      </w:pPr>
      <w:r>
        <w:rPr>
          <w:bCs/>
          <w:b/>
        </w:rPr>
        <w:t xml:space="preserve">Energy Intensity (kWh/unit):</w:t>
      </w:r>
      <w:r>
        <w:t xml:space="preserve"> </w:t>
      </w:r>
      <w:r>
        <w:t xml:space="preserve">`xqjwdpslvf` (Illustrative value: 10 kWh/unit)</w:t>
      </w:r>
    </w:p>
    <w:p>
      <w:pPr>
        <w:numPr>
          <w:ilvl w:val="0"/>
          <w:numId w:val="1003"/>
        </w:numPr>
        <w:pStyle w:val="Compact"/>
      </w:pPr>
      <w:r>
        <w:rPr>
          <w:bCs/>
          <w:b/>
        </w:rPr>
        <w:t xml:space="preserve">Renewable Energy Usage:</w:t>
      </w:r>
      <w:r>
        <w:t xml:space="preserve"> </w:t>
      </w:r>
      <w:r>
        <w:t xml:space="preserve">`smwkutnove` (Illustrative value: 30%)</w:t>
      </w:r>
    </w:p>
    <w:p>
      <w:pPr>
        <w:numPr>
          <w:ilvl w:val="0"/>
          <w:numId w:val="1003"/>
        </w:numPr>
        <w:pStyle w:val="Compact"/>
      </w:pPr>
      <w:r>
        <w:rPr>
          <w:bCs/>
          <w:b/>
        </w:rPr>
        <w:t xml:space="preserve">Geographic Scope for Production:</w:t>
      </w:r>
      <w:r>
        <w:t xml:space="preserve"> </w:t>
      </w:r>
      <w:r>
        <w:t xml:space="preserve">China</w:t>
      </w:r>
    </w:p>
    <w:bookmarkEnd w:id="29"/>
    <w:bookmarkStart w:id="30" w:name="Xd9c3f5ca1a2680f002ed70bd425abaea6192e9c"/>
    <w:p>
      <w:pPr>
        <w:pStyle w:val="Heading3"/>
      </w:pPr>
      <w:r>
        <w:t xml:space="preserve">3.3. Transport Data (Scope 3, Category 4: Upstream Transportation and Distribution)</w:t>
      </w:r>
    </w:p>
    <w:p>
      <w:pPr>
        <w:numPr>
          <w:ilvl w:val="0"/>
          <w:numId w:val="1004"/>
        </w:numPr>
        <w:pStyle w:val="Compact"/>
      </w:pPr>
      <w:r>
        <w:rPr>
          <w:bCs/>
          <w:b/>
        </w:rPr>
        <w:t xml:space="preserve">Transport Mode:</w:t>
      </w:r>
      <w:r>
        <w:t xml:space="preserve"> </w:t>
      </w:r>
      <w:r>
        <w:t xml:space="preserve">`Select Mode` (Illustrative: Road Freight - Heavy Goods Vehicle)</w:t>
      </w:r>
    </w:p>
    <w:p>
      <w:pPr>
        <w:numPr>
          <w:ilvl w:val="0"/>
          <w:numId w:val="1004"/>
        </w:numPr>
        <w:pStyle w:val="Compact"/>
      </w:pPr>
      <w:r>
        <w:rPr>
          <w:bCs/>
          <w:b/>
        </w:rPr>
        <w:t xml:space="preserve">Transport Distance:</w:t>
      </w:r>
      <w:r>
        <w:t xml:space="preserve"> </w:t>
      </w:r>
      <w:r>
        <w:t xml:space="preserve">`mhtpgzszuh` (Illustrative: 1000 km, representing inbound logistics from Europe to the production facility in China, or within the European supply chain focused on raw materials).</w:t>
      </w:r>
    </w:p>
    <w:p>
      <w:pPr>
        <w:numPr>
          <w:ilvl w:val="0"/>
          <w:numId w:val="1004"/>
        </w:numPr>
        <w:pStyle w:val="Compact"/>
      </w:pPr>
      <w:r>
        <w:rPr>
          <w:bCs/>
          <w:b/>
        </w:rPr>
        <w:t xml:space="preserve">Last-Mile Delivery Channel:</w:t>
      </w:r>
      <w:r>
        <w:t xml:space="preserve"> </w:t>
      </w:r>
      <w:r>
        <w:t xml:space="preserve">`Delivery Type` (Illustrative: Parcel Service, e.g., small delivery van)</w:t>
      </w:r>
    </w:p>
    <w:p>
      <w:pPr>
        <w:numPr>
          <w:ilvl w:val="0"/>
          <w:numId w:val="1004"/>
        </w:numPr>
        <w:pStyle w:val="Compact"/>
      </w:pPr>
      <w:r>
        <w:rPr>
          <w:bCs/>
          <w:b/>
        </w:rPr>
        <w:t xml:space="preserve">Assumed Product Mass for Transport:</w:t>
      </w:r>
      <w:r>
        <w:t xml:space="preserve"> </w:t>
      </w:r>
      <w:r>
        <w:t xml:space="preserve">1.5 kg per unit of</w:t>
      </w:r>
      <w:r>
        <w:t xml:space="preserve"> </w:t>
      </w:r>
      <w:r>
        <w:rPr>
          <w:bCs/>
          <w:b/>
        </w:rPr>
        <w:t xml:space="preserve">snjfiiwhjz</w:t>
      </w:r>
      <w:r>
        <w:t xml:space="preserve">.</w:t>
      </w:r>
    </w:p>
    <w:bookmarkEnd w:id="30"/>
    <w:bookmarkStart w:id="31" w:name="X9c47a088dc2010630d22d37d8f68ea322772e33"/>
    <w:p>
      <w:pPr>
        <w:pStyle w:val="Heading3"/>
      </w:pPr>
      <w:r>
        <w:t xml:space="preserve">3.4. Use Phase Data (Scope 3, Category 11: Use of Sold Products)</w:t>
      </w:r>
    </w:p>
    <w:p>
      <w:pPr>
        <w:numPr>
          <w:ilvl w:val="0"/>
          <w:numId w:val="1005"/>
        </w:numPr>
        <w:pStyle w:val="Compact"/>
      </w:pPr>
      <w:r>
        <w:rPr>
          <w:bCs/>
          <w:b/>
        </w:rPr>
        <w:t xml:space="preserve">Product Lifespan:</w:t>
      </w:r>
      <w:r>
        <w:t xml:space="preserve"> </w:t>
      </w:r>
      <w:r>
        <w:t xml:space="preserve">`linrqdhwoy` (Illustrative: 3 years)</w:t>
      </w:r>
    </w:p>
    <w:p>
      <w:pPr>
        <w:numPr>
          <w:ilvl w:val="0"/>
          <w:numId w:val="1005"/>
        </w:numPr>
        <w:pStyle w:val="Compact"/>
      </w:pPr>
      <w:r>
        <w:rPr>
          <w:bCs/>
          <w:b/>
        </w:rPr>
        <w:t xml:space="preserve">Energy Consumption in Use (per year):</w:t>
      </w:r>
      <w:r>
        <w:t xml:space="preserve"> </w:t>
      </w:r>
      <w:r>
        <w:t xml:space="preserve">`hqleonolvq` (Illustrative: 5 kWh/year)</w:t>
      </w:r>
    </w:p>
    <w:bookmarkEnd w:id="31"/>
    <w:bookmarkStart w:id="32" w:name="X22f9dae0edae5a4ebf0dcf5b8ca74de2c6ea5a4"/>
    <w:p>
      <w:pPr>
        <w:pStyle w:val="Heading3"/>
      </w:pPr>
      <w:r>
        <w:t xml:space="preserve">3.5. End-of-Life (EoL) Scenarios (Scope 3, Category 12: End-of-Life Treatment of Sold Products)</w:t>
      </w:r>
    </w:p>
    <w:p>
      <w:pPr>
        <w:numPr>
          <w:ilvl w:val="0"/>
          <w:numId w:val="1006"/>
        </w:numPr>
        <w:pStyle w:val="Compact"/>
      </w:pPr>
      <w:r>
        <w:rPr>
          <w:bCs/>
          <w:b/>
        </w:rPr>
        <w:t xml:space="preserve">Recyclability Percentage:</w:t>
      </w:r>
      <w:r>
        <w:t xml:space="preserve"> </w:t>
      </w:r>
      <w:r>
        <w:t xml:space="preserve">`jrymfwzymw` (Illustrative: 70%)</w:t>
      </w:r>
    </w:p>
    <w:p>
      <w:pPr>
        <w:numPr>
          <w:ilvl w:val="0"/>
          <w:numId w:val="1006"/>
        </w:numPr>
        <w:pStyle w:val="Compact"/>
      </w:pPr>
      <w:r>
        <w:rPr>
          <w:bCs/>
          <w:b/>
        </w:rPr>
        <w:t xml:space="preserve">Circular/Take-back Programs:</w:t>
      </w:r>
      <w:r>
        <w:t xml:space="preserve"> </w:t>
      </w:r>
      <w:r>
        <w:t xml:space="preserve">`emeprxykfe` (Qualitative: Company has established take-back programs)</w:t>
      </w:r>
    </w:p>
    <w:p>
      <w:pPr>
        <w:numPr>
          <w:ilvl w:val="0"/>
          <w:numId w:val="1006"/>
        </w:numPr>
        <w:pStyle w:val="Compact"/>
      </w:pPr>
      <w:r>
        <w:rPr>
          <w:bCs/>
          <w:b/>
        </w:rPr>
        <w:t xml:space="preserve">Assumed Total Product Mass for EoL:</w:t>
      </w:r>
      <w:r>
        <w:t xml:space="preserve"> </w:t>
      </w:r>
      <w:r>
        <w:t xml:space="preserve">1.5 kg per unit of</w:t>
      </w:r>
      <w:r>
        <w:t xml:space="preserve"> </w:t>
      </w:r>
      <w:r>
        <w:rPr>
          <w:bCs/>
          <w:b/>
        </w:rPr>
        <w:t xml:space="preserve">snjfiiwhjz</w:t>
      </w:r>
      <w:r>
        <w:t xml:space="preserve">.</w:t>
      </w:r>
    </w:p>
    <w:bookmarkEnd w:id="32"/>
    <w:bookmarkStart w:id="33" w:name="emission-factors"/>
    <w:p>
      <w:pPr>
        <w:pStyle w:val="Heading3"/>
      </w:pPr>
      <w:r>
        <w:t xml:space="preserve">3.6. Emission Factors</w:t>
      </w:r>
    </w:p>
    <w:p>
      <w:pPr>
        <w:pStyle w:val="FirstParagraph"/>
      </w:pPr>
      <w:r>
        <w:t xml:space="preserve">Industry-standard emission factors are crucial for converting activity data into CO2e emissions. For this analysis, representative factors based on publicly available databases (e.g., Ecoinvent, DEFRA, MEE, IEA) are used for illustrative calculations where specific primary data is not provided:</w:t>
      </w:r>
    </w:p>
    <w:p>
      <w:pPr>
        <w:numPr>
          <w:ilvl w:val="0"/>
          <w:numId w:val="1007"/>
        </w:numPr>
        <w:pStyle w:val="Compact"/>
      </w:pPr>
      <w:r>
        <w:rPr>
          <w:bCs/>
          <w:b/>
        </w:rPr>
        <w:t xml:space="preserve">China Electricity Grid Mix (Production):</w:t>
      </w:r>
      <w:r>
        <w:t xml:space="preserve"> </w:t>
      </w:r>
      <w:r>
        <w:t xml:space="preserve">0.577 kg CO2e/kWh (representative value from MEE 2021 (0.5568 kg CO2/kWh) and IEA 2021 (0.6093 kg CO2/kWh)).</w:t>
      </w:r>
    </w:p>
    <w:p>
      <w:pPr>
        <w:numPr>
          <w:ilvl w:val="0"/>
          <w:numId w:val="1007"/>
        </w:numPr>
        <w:pStyle w:val="Compact"/>
      </w:pPr>
      <w:r>
        <w:rPr>
          <w:bCs/>
          <w:b/>
        </w:rPr>
        <w:t xml:space="preserve">Road Freight (Heavy Goods Vehicle, long-haul):</w:t>
      </w:r>
      <w:r>
        <w:t xml:space="preserve"> </w:t>
      </w:r>
      <w:r>
        <w:t xml:space="preserve">0.08 kg CO2e/tonne-km.</w:t>
      </w:r>
    </w:p>
    <w:p>
      <w:pPr>
        <w:numPr>
          <w:ilvl w:val="0"/>
          <w:numId w:val="1007"/>
        </w:numPr>
        <w:pStyle w:val="Compact"/>
      </w:pPr>
      <w:r>
        <w:rPr>
          <w:bCs/>
          <w:b/>
        </w:rPr>
        <w:t xml:space="preserve">Electricity for Use Phase:</w:t>
      </w:r>
      <w:r>
        <w:t xml:space="preserve"> </w:t>
      </w:r>
      <w:r>
        <w:t xml:space="preserve">Assumed to be the same as China grid mix (0.577 kg CO2e/kWh) for consistency, representing a general consumption scenario.</w:t>
      </w:r>
    </w:p>
    <w:p>
      <w:pPr>
        <w:numPr>
          <w:ilvl w:val="0"/>
          <w:numId w:val="1007"/>
        </w:numPr>
        <w:pStyle w:val="Compact"/>
      </w:pPr>
      <w:r>
        <w:rPr>
          <w:bCs/>
          <w:b/>
        </w:rPr>
        <w:t xml:space="preserve">End-of-Life Emission Factors (Illustrative Averages):</w:t>
      </w:r>
    </w:p>
    <w:p>
      <w:pPr>
        <w:numPr>
          <w:ilvl w:val="1"/>
          <w:numId w:val="1008"/>
        </w:numPr>
        <w:pStyle w:val="Compact"/>
      </w:pPr>
      <w:r>
        <w:t xml:space="preserve">Recycling Process (average for mixed materials): 0.1 kg CO2e/kg (Emissions from the collection, sorting, and processing of recyclable materials, not a credit for avoided virgin material production).</w:t>
      </w:r>
    </w:p>
    <w:p>
      <w:pPr>
        <w:numPr>
          <w:ilvl w:val="1"/>
          <w:numId w:val="1008"/>
        </w:numPr>
        <w:pStyle w:val="Compact"/>
      </w:pPr>
      <w:r>
        <w:t xml:space="preserve">Landfill/Incineration (average for mixed materials): 0.5 kg CO2e/kg (simplified average, considering variations across material types and disposal methods).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the lifecycle stages, categorized by GHG Protocol Scopes. All calculations are for 1.0 functional unit of</w:t>
      </w:r>
      <w:r>
        <w:t xml:space="preserve"> </w:t>
      </w:r>
      <w:r>
        <w:rPr>
          <w:bCs/>
          <w:b/>
        </w:rPr>
        <w:t xml:space="preserve">snjfiiwhjz</w:t>
      </w:r>
      <w:r>
        <w:t xml:space="preserve">.</w:t>
      </w:r>
    </w:p>
    <w:bookmarkStart w:id="35" w:name="scope-1-direct-emissions"/>
    <w:p>
      <w:pPr>
        <w:pStyle w:val="Heading3"/>
      </w:pPr>
      <w:r>
        <w:t xml:space="preserve">4.1. Scope 1: Direct Emissions</w:t>
      </w:r>
    </w:p>
    <w:p>
      <w:pPr>
        <w:pStyle w:val="FirstParagraph"/>
      </w:pPr>
      <w:r>
        <w:t xml:space="preserve">For a Product Carbon Footprint (PCF) focused on a \'factory_gate\' boundary, direct Scope 1 emissions from manufacturing (e.g., on-site fuel combustion) are typically reported at the organizational level. For this PCF, we assume negligible direct emissions solely attributable to the manufacturing of a single unit of</w:t>
      </w:r>
      <w:r>
        <w:t xml:space="preserve"> </w:t>
      </w:r>
      <w:r>
        <w:rPr>
          <w:bCs/>
          <w:b/>
        </w:rPr>
        <w:t xml:space="preserve">snjfiiwhjz</w:t>
      </w:r>
      <w:r>
        <w:t xml:space="preserve"> </w:t>
      </w:r>
      <w:r>
        <w:t xml:space="preserve">at the factory gate, or they are implicitly covered by broader facility emissions for which the \'energy intensity\' in Scope 2 serves as a proxy for product-level impact. Actual direct emissions would require specific fuel consumption data per unit produced.</w:t>
      </w:r>
    </w:p>
    <w:p>
      <w:pPr>
        <w:pStyle w:val="BodyText"/>
      </w:pPr>
      <w:r>
        <w:rPr>
          <w:bCs/>
          <w:b/>
        </w:rPr>
        <w:t xml:space="preserve">Total Scope 1 Emissions: 0.00 kg CO2e (Assumed negligible for product-level direct emissions)</w:t>
      </w:r>
    </w:p>
    <w:bookmarkEnd w:id="35"/>
    <w:bookmarkStart w:id="36" w:name="X62c230dfbc997ac027aba9e0bd5de80c87f0b38"/>
    <w:p>
      <w:pPr>
        <w:pStyle w:val="Heading3"/>
      </w:pPr>
      <w:r>
        <w:t xml:space="preserve">4.2. Scope 2: Purchased Electricity Emissions (Production Phase)</w:t>
      </w:r>
    </w:p>
    <w:p>
      <w:pPr>
        <w:pStyle w:val="FirstParagraph"/>
      </w:pPr>
      <w:r>
        <w:t xml:space="preserve">Emissions from purchased electricity for the production of</w:t>
      </w:r>
      <w:r>
        <w:t xml:space="preserve"> </w:t>
      </w:r>
      <w:r>
        <w:rPr>
          <w:bCs/>
          <w:b/>
        </w:rPr>
        <w:t xml:space="preserve">snjfiiwhjz</w:t>
      </w:r>
      <w:r>
        <w:t xml:space="preserve"> </w:t>
      </w:r>
      <w:r>
        <w:t xml:space="preserve">are calculated as follows:</w:t>
      </w:r>
    </w:p>
    <w:p>
      <w:pPr>
        <w:numPr>
          <w:ilvl w:val="0"/>
          <w:numId w:val="1009"/>
        </w:numPr>
        <w:pStyle w:val="Compact"/>
      </w:pPr>
      <w:r>
        <w:t xml:space="preserve">Total Energy Consumption = Energy Intensity (10 kWh/unit) * Functional Unit (1.0 unit) = 10 kWh.</w:t>
      </w:r>
    </w:p>
    <w:p>
      <w:pPr>
        <w:numPr>
          <w:ilvl w:val="0"/>
          <w:numId w:val="1009"/>
        </w:numPr>
        <w:pStyle w:val="Compact"/>
      </w:pPr>
      <w:r>
        <w:t xml:space="preserve">Non-Renewable Energy Consumption = Total Energy Consumption * (1 - Renewable Energy Usage) = 10 kWh * (1 - 0.30) = 7 kWh.</w:t>
      </w:r>
    </w:p>
    <w:p>
      <w:pPr>
        <w:numPr>
          <w:ilvl w:val="0"/>
          <w:numId w:val="1009"/>
        </w:numPr>
        <w:pStyle w:val="Compact"/>
      </w:pPr>
      <w:r>
        <w:t xml:space="preserve">Scope 2 Emissions = Non-Renewable Energy Consumption * China Electricity Grid Emission Factor = 7 kWh * 0.577 kg CO2e/kWh = 4.039 kg CO2e.</w:t>
      </w:r>
    </w:p>
    <w:p>
      <w:pPr>
        <w:pStyle w:val="FirstParagraph"/>
      </w:pPr>
      <w:r>
        <w:rPr>
          <w:bCs/>
          <w:b/>
        </w:rPr>
        <w:t xml:space="preserve">Total Scope 2 Emissions: 4.039 kg CO2e</w:t>
      </w:r>
    </w:p>
    <w:bookmarkEnd w:id="36"/>
    <w:bookmarkStart w:id="41" w:name="scope-3-value-chain-emissions"/>
    <w:p>
      <w:pPr>
        <w:pStyle w:val="Heading3"/>
      </w:pPr>
      <w:r>
        <w:t xml:space="preserve">4.3. Scope 3: Value Chain Emissions</w:t>
      </w:r>
    </w:p>
    <w:bookmarkStart w:id="37" w:name="X78e1bf6b1bb241956af814f40441d7e3bce80c8"/>
    <w:p>
      <w:pPr>
        <w:pStyle w:val="Heading4"/>
      </w:pPr>
      <w:r>
        <w:t xml:space="preserve">4.3.1. Upstream Purchased Goods and Services (Materials)</w:t>
      </w:r>
    </w:p>
    <w:p>
      <w:pPr>
        <w:pStyle w:val="FirstParagraph"/>
      </w:pPr>
      <w:r>
        <w:t xml:space="preserve">Based on the illustrative Detailed Bill of Materials (BOM) in Section 3.1, the aggregated emissions from material extraction, processing, and manufacturing are:</w:t>
      </w:r>
    </w:p>
    <w:p>
      <w:pPr>
        <w:numPr>
          <w:ilvl w:val="0"/>
          <w:numId w:val="1010"/>
        </w:numPr>
        <w:pStyle w:val="Compact"/>
      </w:pPr>
      <w:r>
        <w:t xml:space="preserve">Total Material Emissions = Sum of \'Total Carbon\' from BOM = 3.935 kg CO2e.</w:t>
      </w:r>
    </w:p>
    <w:p>
      <w:pPr>
        <w:pStyle w:val="FirstParagraph"/>
      </w:pPr>
      <w:r>
        <w:rPr>
          <w:bCs/>
          <w:b/>
        </w:rPr>
        <w:t xml:space="preserve">Total Scope 3 (Materials) Emissions: 3.935 kg CO2e</w:t>
      </w:r>
    </w:p>
    <w:bookmarkEnd w:id="37"/>
    <w:bookmarkStart w:id="38" w:name="upstream-transportation-and-distribution"/>
    <w:p>
      <w:pPr>
        <w:pStyle w:val="Heading4"/>
      </w:pPr>
      <w:r>
        <w:t xml:space="preserve">4.3.2. Upstream Transportation and Distribution</w:t>
      </w:r>
    </w:p>
    <w:p>
      <w:pPr>
        <w:pStyle w:val="FirstParagraph"/>
      </w:pPr>
      <w:r>
        <w:t xml:space="preserve">Emissions from transporting raw materials to the production facility and for last-mile delivery. Assuming the illustrative transport distance for inbound logistics and average product mass:</w:t>
      </w:r>
    </w:p>
    <w:p>
      <w:pPr>
        <w:numPr>
          <w:ilvl w:val="0"/>
          <w:numId w:val="1011"/>
        </w:numPr>
        <w:pStyle w:val="Compact"/>
      </w:pPr>
      <w:r>
        <w:t xml:space="preserve">Product Mass for Transport = 1.5 kg = 0.0015 tonnes.</w:t>
      </w:r>
    </w:p>
    <w:p>
      <w:pPr>
        <w:numPr>
          <w:ilvl w:val="0"/>
          <w:numId w:val="1011"/>
        </w:numPr>
        <w:pStyle w:val="Compact"/>
      </w:pPr>
      <w:r>
        <w:t xml:space="preserve">Transport Activity = Product Mass (tonnes) * Transport Distance (km) = 0.0015 tonnes * 1000 km = 1.5 tonne-km.</w:t>
      </w:r>
    </w:p>
    <w:p>
      <w:pPr>
        <w:numPr>
          <w:ilvl w:val="0"/>
          <w:numId w:val="1011"/>
        </w:numPr>
        <w:pStyle w:val="Compact"/>
      </w:pPr>
      <w:r>
        <w:t xml:space="preserve">Transport Emissions = Transport Activity * Road Freight Emission Factor = 1.5 tonne-km * 0.08 kg CO2e/tonne-km = 0.12 kg CO2e.</w:t>
      </w:r>
    </w:p>
    <w:p>
      <w:pPr>
        <w:numPr>
          <w:ilvl w:val="0"/>
          <w:numId w:val="1011"/>
        </w:numPr>
        <w:pStyle w:val="Compact"/>
      </w:pPr>
      <w:r>
        <w:t xml:space="preserve">Last-Mile Delivery: The `Delivery Type` is a placeholder. Assuming similar short-haul road transport for last-mile, a nominal additional emission is estimated to represent this. For this report, we\'ll factor it into the general transport estimate.</w:t>
      </w:r>
    </w:p>
    <w:p>
      <w:pPr>
        <w:pStyle w:val="FirstParagraph"/>
      </w:pPr>
      <w:r>
        <w:rPr>
          <w:bCs/>
          <w:b/>
        </w:rPr>
        <w:t xml:space="preserve">Total Scope 3 (Transport) Emissions: 0.120 kg CO2e</w:t>
      </w:r>
    </w:p>
    <w:bookmarkEnd w:id="38"/>
    <w:bookmarkStart w:id="39" w:name="X56962a17d84ad843183f36a92834d9ce1dab362"/>
    <w:p>
      <w:pPr>
        <w:pStyle w:val="Heading4"/>
      </w:pPr>
      <w:r>
        <w:t xml:space="preserve">4.3.3. Downstream Use of Sold Products (Use Phase)</w:t>
      </w:r>
    </w:p>
    <w:p>
      <w:pPr>
        <w:pStyle w:val="FirstParagraph"/>
      </w:pPr>
      <w:r>
        <w:t xml:space="preserve">Emissions from the product\'s energy consumption during its lifespan:</w:t>
      </w:r>
    </w:p>
    <w:p>
      <w:pPr>
        <w:numPr>
          <w:ilvl w:val="0"/>
          <w:numId w:val="1012"/>
        </w:numPr>
        <w:pStyle w:val="Compact"/>
      </w:pPr>
      <w:r>
        <w:t xml:space="preserve">Total Use Phase Energy = Energy Consumption in Use (5 kWh/year) * Product Lifespan (3 years) = 15 kWh.</w:t>
      </w:r>
    </w:p>
    <w:p>
      <w:pPr>
        <w:numPr>
          <w:ilvl w:val="0"/>
          <w:numId w:val="1012"/>
        </w:numPr>
        <w:pStyle w:val="Compact"/>
      </w:pPr>
      <w:r>
        <w:t xml:space="preserve">Use Phase Emissions = Total Use Phase Energy * Electricity Emission Factor (China grid mix) = 15 kWh * 0.577 kg CO2e/kWh = 8.655 kg CO2e.</w:t>
      </w:r>
    </w:p>
    <w:p>
      <w:pPr>
        <w:pStyle w:val="FirstParagraph"/>
      </w:pPr>
      <w:r>
        <w:rPr>
          <w:bCs/>
          <w:b/>
        </w:rPr>
        <w:t xml:space="preserve">Total Scope 3 (Use Phase) Emissions: 8.655 kg CO2e</w:t>
      </w:r>
    </w:p>
    <w:bookmarkEnd w:id="39"/>
    <w:bookmarkStart w:id="40" w:name="Xa5c0117f7305a2f0890ad800d8c833eda08bb5a"/>
    <w:p>
      <w:pPr>
        <w:pStyle w:val="Heading4"/>
      </w:pPr>
      <w:r>
        <w:t xml:space="preserve">4.3.4. Downstream End-of-Life Treatment of Sold Products</w:t>
      </w:r>
    </w:p>
    <w:p>
      <w:pPr>
        <w:pStyle w:val="FirstParagraph"/>
      </w:pPr>
      <w:r>
        <w:t xml:space="preserve">Emissions from the disposal and treatment of the product at the end of its life. This includes a consideration for recyclability and circular economy programs.</w:t>
      </w:r>
    </w:p>
    <w:p>
      <w:pPr>
        <w:numPr>
          <w:ilvl w:val="0"/>
          <w:numId w:val="1013"/>
        </w:numPr>
        <w:pStyle w:val="Compact"/>
      </w:pPr>
      <w:r>
        <w:t xml:space="preserve">Total Product Mass for EoL = 1.5 kg.</w:t>
      </w:r>
    </w:p>
    <w:p>
      <w:pPr>
        <w:numPr>
          <w:ilvl w:val="0"/>
          <w:numId w:val="1013"/>
        </w:numPr>
        <w:pStyle w:val="Compact"/>
      </w:pPr>
      <w:r>
        <w:t xml:space="preserve">Mass Recycled = Total Product Mass * Recyclability Percentage = 1.5 kg * 0.70 = 1.05 kg.</w:t>
      </w:r>
    </w:p>
    <w:p>
      <w:pPr>
        <w:numPr>
          <w:ilvl w:val="0"/>
          <w:numId w:val="1013"/>
        </w:numPr>
        <w:pStyle w:val="Compact"/>
      </w:pPr>
      <w:r>
        <w:t xml:space="preserve">Emissions from Recycling Process = Mass Recycled * EoL Recycling Factor = 1.05 kg * 0.1 kg CO2e/kg = 0.105 kg CO2e.</w:t>
      </w:r>
    </w:p>
    <w:p>
      <w:pPr>
        <w:numPr>
          <w:ilvl w:val="0"/>
          <w:numId w:val="1013"/>
        </w:numPr>
        <w:pStyle w:val="Compact"/>
      </w:pPr>
      <w:r>
        <w:t xml:space="preserve">Remaining Mass for Disposal = Total Product Mass * (1 - Recyclability Percentage) = 1.5 kg * 0.30 = 0.45 kg.</w:t>
      </w:r>
    </w:p>
    <w:p>
      <w:pPr>
        <w:numPr>
          <w:ilvl w:val="0"/>
          <w:numId w:val="1013"/>
        </w:numPr>
        <w:pStyle w:val="Compact"/>
      </w:pPr>
      <w:r>
        <w:t xml:space="preserve">Impact of Circular/Take-back Programs (`emeprxykfe`): Given the presence of programs, an illustrative 50% of the remaining mass is assumed to be recovered through refurbishment/reuse, avoiding landfill/incineration emissions.</w:t>
      </w:r>
    </w:p>
    <w:p>
      <w:pPr>
        <w:numPr>
          <w:ilvl w:val="0"/>
          <w:numId w:val="1013"/>
        </w:numPr>
        <w:pStyle w:val="Compact"/>
      </w:pPr>
      <w:r>
        <w:t xml:space="preserve">Mass diverted by programs = 0.45 kg * 0.50 = 0.225 kg (assumed 0 emissions for this pathway for simplicity).</w:t>
      </w:r>
    </w:p>
    <w:p>
      <w:pPr>
        <w:numPr>
          <w:ilvl w:val="0"/>
          <w:numId w:val="1013"/>
        </w:numPr>
        <w:pStyle w:val="Compact"/>
      </w:pPr>
      <w:r>
        <w:t xml:space="preserve">Mass to Landfill/Incineration = Remaining Mass for Disposal - Mass diverted by programs = 0.45 kg - 0.225 kg = 0.225 kg.</w:t>
      </w:r>
    </w:p>
    <w:p>
      <w:pPr>
        <w:numPr>
          <w:ilvl w:val="0"/>
          <w:numId w:val="1013"/>
        </w:numPr>
        <w:pStyle w:val="Compact"/>
      </w:pPr>
      <w:r>
        <w:t xml:space="preserve">Emissions from Landfill/Incineration = Mass to Landfill/Incineration * EoL Landfill/Incineration Factor = 0.225 kg * 0.5 kg CO2e/kg = 0.1125 kg CO2e.</w:t>
      </w:r>
    </w:p>
    <w:p>
      <w:pPr>
        <w:pStyle w:val="FirstParagraph"/>
      </w:pPr>
      <w:r>
        <w:rPr>
          <w:bCs/>
          <w:b/>
        </w:rPr>
        <w:t xml:space="preserve">Total Scope 3 (EoL) Emissions: 0.105 kg CO2e (Recycling) + 0.1125 kg CO2e (Landfill/Incineration) = 0.2175 kg CO2e</w:t>
      </w:r>
    </w:p>
    <w:bookmarkEnd w:id="40"/>
    <w:bookmarkEnd w:id="41"/>
    <w:bookmarkStart w:id="42"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(Assumed negligible for PCF)</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4.039</w:t>
            </w:r>
          </w:p>
        </w:tc>
        <w:tc>
          <w:tcPr/>
          <w:p>
            <w:pPr>
              <w:pStyle w:val="Compact"/>
              <w:jc w:val="left"/>
            </w:pPr>
            <w:r>
              <w:t xml:space="preserve">25.5%</w:t>
            </w:r>
          </w:p>
        </w:tc>
      </w:tr>
      <w:tr>
        <w:tc>
          <w:tcPr>
            <w:vMerge w:val="restart"/>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3.935</w:t>
            </w:r>
          </w:p>
        </w:tc>
        <w:tc>
          <w:tcPr/>
          <w:p>
            <w:pPr>
              <w:pStyle w:val="Compact"/>
              <w:jc w:val="left"/>
            </w:pPr>
            <w:r>
              <w:t xml:space="preserve">24.8%</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0.120</w:t>
            </w:r>
          </w:p>
        </w:tc>
        <w:tc>
          <w:tcPr/>
          <w:p>
            <w:pPr>
              <w:pStyle w:val="Compact"/>
              <w:jc w:val="left"/>
            </w:pPr>
            <w:r>
              <w:t xml:space="preserve">0.8%</w:t>
            </w:r>
          </w:p>
        </w:tc>
      </w:tr>
      <w:tr>
        <w:tc>
          <w:tcPr>
            <w:gridSpan w:val="1"/>
            <w:vMerge w:val="continue"/>
          </w:tcPr>
          <w:p>
            <w:pPr/>
          </w:p>
        </w:tc>
        <w:tc>
          <w:tcPr/>
          <w:p>
            <w:pPr>
              <w:pStyle w:val="Compact"/>
              <w:jc w:val="left"/>
            </w:pPr>
            <w:r>
              <w:t xml:space="preserve">Use of Sold Products (Energy in Use)</w:t>
            </w:r>
          </w:p>
        </w:tc>
        <w:tc>
          <w:tcPr/>
          <w:p>
            <w:pPr>
              <w:pStyle w:val="Compact"/>
              <w:jc w:val="left"/>
            </w:pPr>
            <w:r>
              <w:t xml:space="preserve">8.655</w:t>
            </w:r>
          </w:p>
        </w:tc>
        <w:tc>
          <w:tcPr/>
          <w:p>
            <w:pPr>
              <w:pStyle w:val="Compact"/>
              <w:jc w:val="left"/>
            </w:pPr>
            <w:r>
              <w:t xml:space="preserve">54.6%</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0.218</w:t>
            </w:r>
          </w:p>
        </w:tc>
        <w:tc>
          <w:tcPr/>
          <w:p>
            <w:pPr>
              <w:pStyle w:val="Compact"/>
              <w:jc w:val="left"/>
            </w:pPr>
            <w:r>
              <w:t xml:space="preserve">1.4%</w:t>
            </w:r>
          </w:p>
        </w:tc>
      </w:tr>
      <w:tr>
        <w:tc>
          <w:tcPr>
            <w:gridSpan w:val="2"/>
          </w:tcPr>
          <w:p>
            <w:pPr>
              <w:pStyle w:val="Compact"/>
              <w:jc w:val="right"/>
            </w:pPr>
            <w:r>
              <w:t xml:space="preserve">Total Product Carbon Footprint:</w:t>
            </w:r>
          </w:p>
        </w:tc>
        <w:tc>
          <w:tcPr/>
          <w:p>
            <w:pPr>
              <w:pStyle w:val="Compact"/>
              <w:jc w:val="left"/>
            </w:pPr>
            <w:r>
              <w:rPr>
                <w:bCs/>
                <w:b/>
              </w:rPr>
              <w:t xml:space="preserve">16.067 kg CO2e</w:t>
            </w:r>
          </w:p>
        </w:tc>
        <w:tc>
          <w:tcPr/>
          <w:p>
            <w:pPr>
              <w:pStyle w:val="Compact"/>
              <w:jc w:val="left"/>
            </w:pPr>
            <w:r>
              <w:rPr>
                <w:bCs/>
                <w:b/>
              </w:rPr>
              <w:t xml:space="preserve">100%</w:t>
            </w:r>
          </w:p>
        </w:tc>
      </w:tr>
    </w:tbl>
    <w:p>
      <w:pPr>
        <w:pStyle w:val="BodyText"/>
      </w:pPr>
      <w:r>
        <w:rPr>
          <w:iCs/>
          <w:i/>
        </w:rPr>
        <w:t xml:space="preserve">Note: Percentages may not sum to 100% due to rounding.</w:t>
      </w:r>
    </w:p>
    <w:p>
      <w:r>
        <w:pict>
          <v:rect style="width:0;height:1.5pt" o:hralign="center" o:hrstd="t" o:hr="t"/>
        </w:pict>
      </w:r>
    </w:p>
    <w:bookmarkEnd w:id="42"/>
    <w:bookmarkEnd w:id="43"/>
    <w:bookmarkStart w:id="48" w:name="review-report"/>
    <w:p>
      <w:pPr>
        <w:pStyle w:val="Heading2"/>
      </w:pPr>
      <w:r>
        <w:t xml:space="preserve">5. Review &amp; Report</w:t>
      </w:r>
    </w:p>
    <w:bookmarkStart w:id="44" w:name="total-product-carbon-footprint-pcf"/>
    <w:p>
      <w:pPr>
        <w:pStyle w:val="Heading3"/>
      </w:pPr>
      <w:r>
        <w:t xml:space="preserve">5.1. Total Product Carbon Footprint (PCF)</w:t>
      </w:r>
    </w:p>
    <w:p>
      <w:pPr>
        <w:pStyle w:val="FirstParagraph"/>
      </w:pPr>
      <w:r>
        <w:t xml:space="preserve">The total Product Carbon Footprint for one functional unit of</w:t>
      </w:r>
      <w:r>
        <w:t xml:space="preserve"> </w:t>
      </w:r>
      <w:r>
        <w:rPr>
          <w:bCs/>
          <w:b/>
        </w:rPr>
        <w:t xml:space="preserve">snjfiiwhjz</w:t>
      </w:r>
      <w:r>
        <w:t xml:space="preserve"> </w:t>
      </w:r>
      <w:r>
        <w:t xml:space="preserve">is calculated to be</w:t>
      </w:r>
      <w:r>
        <w:t xml:space="preserve"> </w:t>
      </w:r>
      <w:r>
        <w:rPr>
          <w:bCs/>
          <w:b/>
        </w:rPr>
        <w:t xml:space="preserve">16.067 kg CO2e</w:t>
      </w:r>
      <w:r>
        <w:t xml:space="preserve">.</w:t>
      </w:r>
    </w:p>
    <w:bookmarkEnd w:id="44"/>
    <w:bookmarkStart w:id="45" w:name="hotspots-analysis"/>
    <w:p>
      <w:pPr>
        <w:pStyle w:val="Heading3"/>
      </w:pPr>
      <w:r>
        <w:t xml:space="preserve">5.2. Hotspots Analysis</w:t>
      </w:r>
    </w:p>
    <w:p>
      <w:pPr>
        <w:pStyle w:val="FirstParagraph"/>
      </w:pPr>
      <w:r>
        <w:t xml:space="preserve">The analysis identifies the following key emission hotspots across the product\'s lifecycle:</w:t>
      </w:r>
    </w:p>
    <w:p>
      <w:pPr>
        <w:numPr>
          <w:ilvl w:val="0"/>
          <w:numId w:val="1014"/>
        </w:numPr>
        <w:pStyle w:val="Compact"/>
      </w:pPr>
      <w:r>
        <w:rPr>
          <w:bCs/>
          <w:b/>
        </w:rPr>
        <w:t xml:space="preserve">Use Phase (54.6%):</w:t>
      </w:r>
      <w:r>
        <w:t xml:space="preserve"> </w:t>
      </w:r>
      <w:r>
        <w:t xml:space="preserve">The most significant contributor to the PCF is the energy consumed during the product\'s operational lifespan. This highlights the importance of energy efficiency in product design and user behavior.</w:t>
      </w:r>
    </w:p>
    <w:p>
      <w:pPr>
        <w:numPr>
          <w:ilvl w:val="0"/>
          <w:numId w:val="1014"/>
        </w:numPr>
        <w:pStyle w:val="Compact"/>
      </w:pPr>
      <w:r>
        <w:rPr>
          <w:bCs/>
          <w:b/>
        </w:rPr>
        <w:t xml:space="preserve">Production Phase (Scope 2 - Purchased Electricity, 25.5%):</w:t>
      </w:r>
      <w:r>
        <w:t xml:space="preserve"> </w:t>
      </w:r>
      <w:r>
        <w:t xml:space="preserve">Emissions from electricity used in manufacturing are substantial, emphasizing the need for renewable energy integration and energy efficiency at the production facilities in China.</w:t>
      </w:r>
    </w:p>
    <w:p>
      <w:pPr>
        <w:numPr>
          <w:ilvl w:val="0"/>
          <w:numId w:val="1014"/>
        </w:numPr>
        <w:pStyle w:val="Compact"/>
      </w:pPr>
      <w:r>
        <w:rPr>
          <w:bCs/>
          <w:b/>
        </w:rPr>
        <w:t xml:space="preserve">Materials (Scope 3 - Purchased Goods and Services, 24.8%):</w:t>
      </w:r>
      <w:r>
        <w:t xml:space="preserve"> </w:t>
      </w:r>
      <w:r>
        <w:t xml:space="preserve">The acquisition and processing of raw materials, particularly the aluminum casing and printed circuit board, represent a considerable portion of the upstream emissions. Sourcing lower-carbon materials and optimizing material usage are crucial.</w:t>
      </w:r>
    </w:p>
    <w:p>
      <w:pPr>
        <w:numPr>
          <w:ilvl w:val="0"/>
          <w:numId w:val="1014"/>
        </w:numPr>
        <w:pStyle w:val="Compact"/>
      </w:pPr>
      <w:r>
        <w:rPr>
          <w:bCs/>
          <w:b/>
        </w:rPr>
        <w:t xml:space="preserve">Transport (0.8%) and End-of-Life (1.4%):</w:t>
      </w:r>
      <w:r>
        <w:t xml:space="preserve"> </w:t>
      </w:r>
      <w:r>
        <w:t xml:space="preserve">While important, these phases contribute relatively smaller percentages to the overall PCF in this specific analysis, assuming typical distances and disposal methods.</w:t>
      </w:r>
    </w:p>
    <w:bookmarkEnd w:id="45"/>
    <w:bookmarkStart w:id="46" w:name="reliability-and-data-gaps"/>
    <w:p>
      <w:pPr>
        <w:pStyle w:val="Heading3"/>
      </w:pPr>
      <w:r>
        <w:t xml:space="preserve">5.3. Reliability and Data Gaps</w:t>
      </w:r>
    </w:p>
    <w:p>
      <w:pPr>
        <w:pStyle w:val="FirstParagraph"/>
      </w:pPr>
      <w:r>
        <w:t xml:space="preserve">The reliability of this PCF analysis is contingent on the accuracy of the input data. This report utilizes a blend of specific parameters provided by</w:t>
      </w:r>
      <w:r>
        <w:t xml:space="preserve"> </w:t>
      </w:r>
      <w:r>
        <w:rPr>
          <w:bCs/>
          <w:b/>
        </w:rPr>
        <w:t xml:space="preserve">tyiopgrmjq</w:t>
      </w:r>
      <w:r>
        <w:t xml:space="preserve"> </w:t>
      </w:r>
      <w:r>
        <w:t xml:space="preserve">(e.g., BOM structure, energy usage, lifespan) and industry-average emission factors for various processes and materials. Key areas for enhancing data reliability in future assessments include:</w:t>
      </w:r>
    </w:p>
    <w:p>
      <w:pPr>
        <w:numPr>
          <w:ilvl w:val="0"/>
          <w:numId w:val="1015"/>
        </w:numPr>
        <w:pStyle w:val="Compact"/>
      </w:pPr>
      <w:r>
        <w:rPr>
          <w:bCs/>
          <w:b/>
        </w:rPr>
        <w:t xml:space="preserve">Primary Data for Upstream Supply Chain:</w:t>
      </w:r>
      <w:r>
        <w:t xml:space="preserve"> </w:t>
      </w:r>
      <w:r>
        <w:t xml:space="preserve">Obtaining supplier-specific emission factors for all BOM items and precise transport data (actual distances, modes, and loading efficiencies) would significantly improve accuracy, especially for the Europe-focused supply chain.</w:t>
      </w:r>
    </w:p>
    <w:p>
      <w:pPr>
        <w:numPr>
          <w:ilvl w:val="0"/>
          <w:numId w:val="1015"/>
        </w:numPr>
        <w:pStyle w:val="Compact"/>
      </w:pPr>
      <w:r>
        <w:rPr>
          <w:bCs/>
          <w:b/>
        </w:rPr>
        <w:t xml:space="preserve">Country-Specific Use Phase Electricity:</w:t>
      </w:r>
      <w:r>
        <w:t xml:space="preserve"> </w:t>
      </w:r>
      <w:r>
        <w:t xml:space="preserve">The use phase electricity factor assumes a general grid mix. Actual emissions would vary based on the user\'s geographic location and local grid carbon intensity.</w:t>
      </w:r>
    </w:p>
    <w:p>
      <w:pPr>
        <w:numPr>
          <w:ilvl w:val="0"/>
          <w:numId w:val="1015"/>
        </w:numPr>
        <w:pStyle w:val="Compact"/>
      </w:pPr>
      <w:r>
        <w:rPr>
          <w:bCs/>
          <w:b/>
        </w:rPr>
        <w:t xml:space="preserve">Detailed EoL Scenarios:</w:t>
      </w:r>
      <w:r>
        <w:t xml:space="preserve"> </w:t>
      </w:r>
      <w:r>
        <w:t xml:space="preserve">More granular data on the specific types of materials in the product (e.g., plastics vs. metals in recycling streams) and region-specific waste management infrastructure would refine End-of-Life calculations.</w:t>
      </w:r>
    </w:p>
    <w:p>
      <w:pPr>
        <w:numPr>
          <w:ilvl w:val="0"/>
          <w:numId w:val="1015"/>
        </w:numPr>
        <w:pStyle w:val="Compact"/>
      </w:pPr>
      <w:r>
        <w:rPr>
          <w:bCs/>
          <w:b/>
        </w:rPr>
        <w:t xml:space="preserve">LSR Standard Data:</w:t>
      </w:r>
      <w:r>
        <w:t xml:space="preserve"> </w:t>
      </w:r>
      <w:r>
        <w:t xml:space="preserve">As the 2026 LSR Standard\'s accompanying guidance is forthcoming, more detailed data on land use, land use change, and specific biogenic carbon flows would be incorporated once available and applicable to</w:t>
      </w:r>
      <w:r>
        <w:t xml:space="preserve"> </w:t>
      </w:r>
      <w:r>
        <w:rPr>
          <w:bCs/>
          <w:b/>
        </w:rPr>
        <w:t xml:space="preserve">snjfiiwhjz</w:t>
      </w:r>
      <w:r>
        <w:t xml:space="preserve">\'s supply chain.</w:t>
      </w:r>
    </w:p>
    <w:p>
      <w:pPr>
        <w:pStyle w:val="FirstParagraph"/>
      </w:pPr>
      <w:r>
        <w:rPr>
          <w:bCs/>
          <w:b/>
        </w:rPr>
        <w:t xml:space="preserve">Scope 3 95% Coverage:</w:t>
      </w:r>
      <w:r>
        <w:t xml:space="preserve"> </w:t>
      </w:r>
      <w:r>
        <w:t xml:space="preserve">This report structure aims for comprehensive Scope 3 coverage. Achieving the 95% target for required Scope 3 emissions will necessitate rigorous data collection for all relevant categories, including primary data where possible, to reduce reliance on estimations.</w:t>
      </w:r>
    </w:p>
    <w:bookmarkEnd w:id="46"/>
    <w:bookmarkStart w:id="47" w:name="recommendations-for-emission-reduction"/>
    <w:p>
      <w:pPr>
        <w:pStyle w:val="Heading3"/>
      </w:pPr>
      <w:r>
        <w:t xml:space="preserve">5.4. Recommendations for Emission Reduction</w:t>
      </w:r>
    </w:p>
    <w:p>
      <w:pPr>
        <w:pStyle w:val="FirstParagraph"/>
      </w:pPr>
      <w:r>
        <w:t xml:space="preserve">Based on the hotspot analysis,</w:t>
      </w:r>
      <w:r>
        <w:t xml:space="preserve"> </w:t>
      </w:r>
      <w:r>
        <w:rPr>
          <w:bCs/>
          <w:b/>
        </w:rPr>
        <w:t xml:space="preserve">tyiopgrmjq</w:t>
      </w:r>
      <w:r>
        <w:t xml:space="preserve"> </w:t>
      </w:r>
      <w:r>
        <w:t xml:space="preserve">should focus on:</w:t>
      </w:r>
    </w:p>
    <w:p>
      <w:pPr>
        <w:numPr>
          <w:ilvl w:val="0"/>
          <w:numId w:val="1016"/>
        </w:numPr>
        <w:pStyle w:val="Compact"/>
      </w:pPr>
      <w:r>
        <w:rPr>
          <w:bCs/>
          <w:b/>
        </w:rPr>
        <w:t xml:space="preserve">Enhancing Product Energy Efficiency:</w:t>
      </w:r>
      <w:r>
        <w:t xml:space="preserve"> </w:t>
      </w:r>
      <w:r>
        <w:t xml:space="preserve">Redesigning</w:t>
      </w:r>
      <w:r>
        <w:t xml:space="preserve"> </w:t>
      </w:r>
      <w:r>
        <w:rPr>
          <w:bCs/>
          <w:b/>
        </w:rPr>
        <w:t xml:space="preserve">snjfiiwhjz</w:t>
      </w:r>
      <w:r>
        <w:t xml:space="preserve"> </w:t>
      </w:r>
      <w:r>
        <w:t xml:space="preserve">for lower energy consumption during its use phase would yield the most significant emission reductions.</w:t>
      </w:r>
    </w:p>
    <w:p>
      <w:pPr>
        <w:numPr>
          <w:ilvl w:val="0"/>
          <w:numId w:val="1016"/>
        </w:numPr>
        <w:pStyle w:val="Compact"/>
      </w:pPr>
      <w:r>
        <w:rPr>
          <w:bCs/>
          <w:b/>
        </w:rPr>
        <w:t xml:space="preserve">Transitioning to Renewable Energy:</w:t>
      </w:r>
      <w:r>
        <w:t xml:space="preserve"> </w:t>
      </w:r>
      <w:r>
        <w:t xml:space="preserve">Investing in or procuring electricity from renewable sources for production facilities in China will directly reduce Scope 2 emissions.</w:t>
      </w:r>
    </w:p>
    <w:p>
      <w:pPr>
        <w:numPr>
          <w:ilvl w:val="0"/>
          <w:numId w:val="1016"/>
        </w:numPr>
        <w:pStyle w:val="Compact"/>
      </w:pPr>
      <w:r>
        <w:rPr>
          <w:bCs/>
          <w:b/>
        </w:rPr>
        <w:t xml:space="preserve">Sustainable Sourcing:</w:t>
      </w:r>
      <w:r>
        <w:t xml:space="preserve"> </w:t>
      </w:r>
      <w:r>
        <w:t xml:space="preserve">Collaborating with suppliers to source lower-carbon materials and optimizing material design (e.g., lightweighting, increasing recycled content) will reduce upstream Scope 3 impacts.</w:t>
      </w:r>
    </w:p>
    <w:p>
      <w:pPr>
        <w:numPr>
          <w:ilvl w:val="0"/>
          <w:numId w:val="1016"/>
        </w:numPr>
        <w:pStyle w:val="Compact"/>
      </w:pPr>
      <w:r>
        <w:rPr>
          <w:bCs/>
          <w:b/>
        </w:rPr>
        <w:t xml:space="preserve">Strengthening Circularity:</w:t>
      </w:r>
      <w:r>
        <w:t xml:space="preserve"> </w:t>
      </w:r>
      <w:r>
        <w:t xml:space="preserve">Further developing and promoting take-back and refurbishment programs can enhance material recovery and reduce landfill reliance at end-of-life.</w:t>
      </w:r>
    </w:p>
    <w:p>
      <w:r>
        <w:pict>
          <v:rect style="width:0;height:1.5pt" o:hralign="center" o:hrstd="t" o:hr="t"/>
        </w:pict>
      </w:r>
    </w:p>
    <w:p>
      <w:pPr>
        <w:pStyle w:val="FirstParagraph"/>
      </w:pPr>
      <w:r>
        <w:t xml:space="preserve">Confidential - Internal Use Only | Page X of Y (for print)</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snjfiiwhjz</dc:title>
  <dc:creator/>
  <dc:description>Detailed Product Carbon Footprint (PCF) analysis report for snjfiiwhjz by tyiopgrmjq, following GHG Protocol standards and 2026 updates for sustainability assessment.</dc:description>
  <dc:language>en</dc:language>
  <cp:keywords/>
  <dcterms:created xsi:type="dcterms:W3CDTF">2026-05-30T10:34:55Z</dcterms:created>
  <dcterms:modified xsi:type="dcterms:W3CDTF">2026-05-30T10:34:55Z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