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SmartWidget</w:t>
      </w:r>
      <w:r>
        <w:t xml:space="preserve"> </w:t>
      </w:r>
      <w:r>
        <w:t xml:space="preserve">Pro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smartwidget-pro"/>
    <w:p>
      <w:pPr>
        <w:pStyle w:val="Heading1"/>
      </w:pPr>
      <w:r>
        <w:t xml:space="preserve">SmartWidget Pro</w:t>
      </w:r>
    </w:p>
    <w:p>
      <w:pPr>
        <w:pStyle w:val="FirstParagraph"/>
      </w:pPr>
      <w:r>
        <w:rPr>
          <w:bCs/>
          <w:b/>
        </w:rPr>
        <w:t xml:space="preserve">Company Name:</w:t>
      </w:r>
      <w:r>
        <w:t xml:space="preserve"> </w:t>
      </w:r>
      <w:r>
        <w:t xml:space="preserve">ugjyfluwqj</w:t>
      </w:r>
    </w:p>
    <w:p>
      <w:pPr>
        <w:pStyle w:val="BodyText"/>
      </w:pPr>
      <w:r>
        <w:rPr>
          <w:bCs/>
          <w:b/>
        </w:rPr>
        <w:t xml:space="preserve">Senior Sustainability Consultant:</w:t>
      </w:r>
      <w:r>
        <w:t xml:space="preserve"> </w:t>
      </w:r>
      <w:r>
        <w:t xml:space="preserve">zfvpwjtfuo</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estimates and assumptions are inherent in carbon footprinting. This analysis serves as a foundational assessment for sustainability strategy.</w:t>
      </w:r>
    </w:p>
    <w:bookmarkEnd w:id="21"/>
    <w:p>
      <w:pPr>
        <w:pStyle w:val="BodyText"/>
      </w:pPr>
      <w:r>
        <w:t xml:space="preserve">Product Carbon Footprint Analysis: SmartWidget Pro | Generated Date: May 22,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SmartWidget Pro, manufactured by ugjyfluwqj, conducted by Senior Sustainability Consultant zfvpwjtfuo. The analysis strictly adheres to the GHG Protocol, including the 2026 Land Sector and Removals (LSR) Standard update and ensuring at least 95% coverage for Scope 3 emissions. The functional unit is defined as 1.0 unit of the SmartWidget Pro, with a system boundary set at factory_gate. The geographic scope focuses on final production in China and a Europe-focused supply chain. This assessment identifies key emission hotspots across the product\'s lifecycle, from raw material extraction and manufacturing to use-phase energy consumption and end-of-life disposal, providing a comprehensive understanding of its environmental impact.</w:t>
      </w:r>
    </w:p>
    <w:p>
      <w:r>
        <w:pict>
          <v:rect style="width:0;height:1.5pt" o:hralign="center" o:hrstd="t" o:hr="t"/>
        </w:pict>
      </w:r>
    </w:p>
    <w:bookmarkEnd w:id="22"/>
    <w:bookmarkStart w:id="24" w:name="methodology-and-scope-definition"/>
    <w:p>
      <w:pPr>
        <w:pStyle w:val="Heading1"/>
      </w:pPr>
      <w:r>
        <w:t xml:space="preserve">1. Methodology and Scope Definition</w:t>
      </w:r>
    </w:p>
    <w:p>
      <w:pPr>
        <w:pStyle w:val="FirstParagraph"/>
      </w:pPr>
      <w:r>
        <w:t xml:space="preserve">The Product Carbon Footprint (PCF) analysis for the SmartWidget Pro follows a robust methodology aligned with the GHG Protocol Product Standard, incorporating the latest 2026 Land Sector and Removals (LSR) Standard update for land-related emissions and removals, and ensuring comprehensive Scope 3 coverage.</w:t>
      </w:r>
    </w:p>
    <w:bookmarkStart w:id="23"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the SmartWidget Pro. This unit serves as the reference flow for quantifying inputs and outputs throughout the product\'s life cycle.</w:t>
      </w:r>
    </w:p>
    <w:p>
      <w:pPr>
        <w:numPr>
          <w:ilvl w:val="0"/>
          <w:numId w:val="1001"/>
        </w:numPr>
        <w:pStyle w:val="Compact"/>
      </w:pPr>
      <w:r>
        <w:rPr>
          <w:bCs/>
          <w:b/>
        </w:rPr>
        <w:t xml:space="preserve">System Boundary:</w:t>
      </w:r>
      <w:r>
        <w:t xml:space="preserve"> </w:t>
      </w:r>
      <w:r>
        <w:t xml:space="preserve">Cradle-to-grave, with the primary focus on emissions up to the factory_gate for direct production and a detailed assessment extending through transport, use, and end-of-life phases. This includes all material acquisition, manufacturing processes, transportation, product use, and disposal.</w:t>
      </w:r>
    </w:p>
    <w:p>
      <w:pPr>
        <w:numPr>
          <w:ilvl w:val="0"/>
          <w:numId w:val="1001"/>
        </w:numPr>
        <w:pStyle w:val="Compact"/>
      </w:pPr>
      <w:r>
        <w:rPr>
          <w:bCs/>
          <w:b/>
        </w:rPr>
        <w:t xml:space="preserve">Geographic Scope:</w:t>
      </w:r>
      <w:r>
        <w:t xml:space="preserve"> </w:t>
      </w:r>
      <w:r>
        <w:t xml:space="preserve">Final Production Country: China, with a Supply Chain Focus on Europe for key distribution and use-phase scenarios.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its lifecycle. For co-products or waste streams, economic allocation or mass allocation is applied where appropriate, although direct allocation is prioritized for materials.</w:t>
      </w:r>
    </w:p>
    <w:p>
      <w:r>
        <w:pict>
          <v:rect style="width:0;height:1.5pt" o:hralign="center" o:hrstd="t" o:hr="t"/>
        </w:pict>
      </w:r>
    </w:p>
    <w:bookmarkEnd w:id="23"/>
    <w:bookmarkEnd w:id="24"/>
    <w:bookmarkStart w:id="30" w:name="lifecycle-mapping-and-data-collection"/>
    <w:p>
      <w:pPr>
        <w:pStyle w:val="Heading1"/>
      </w:pPr>
      <w:r>
        <w:t xml:space="preserve">2. Lifecycle Mapping and Data Collection</w:t>
      </w:r>
    </w:p>
    <w:p>
      <w:pPr>
        <w:pStyle w:val="FirstParagraph"/>
      </w:pPr>
      <w:r>
        <w:t xml:space="preserve">The lifecycle of the SmartWidget Pro is mapped into several stages to systematically identify and quantify associated greenhouse gas emissions. Data collection integrates primary data where provided and relevant secondary data from recognized industry sources (e.g., Ecoinvent, DEFRA) for robust emission factor application.</w:t>
      </w:r>
    </w:p>
    <w:bookmarkStart w:id="25" w:name="lifecycle-stages-lci-inventory"/>
    <w:p>
      <w:pPr>
        <w:pStyle w:val="Heading2"/>
      </w:pPr>
      <w:r>
        <w:t xml:space="preserve">2.1. Lifecycle Stages (LCI Inventory)</w:t>
      </w:r>
    </w:p>
    <w:p>
      <w:pPr>
        <w:pStyle w:val="FirstParagraph"/>
      </w:pPr>
      <w:r>
        <w:t xml:space="preserve">The product lifecycle for SmartWidget Pro is broken down into the following stages:</w:t>
      </w:r>
    </w:p>
    <w:p>
      <w:pPr>
        <w:numPr>
          <w:ilvl w:val="0"/>
          <w:numId w:val="1002"/>
        </w:numPr>
        <w:pStyle w:val="Compact"/>
      </w:pPr>
      <w:r>
        <w:rPr>
          <w:bCs/>
          <w:b/>
        </w:rPr>
        <w:t xml:space="preserve">Material Acquisition &amp; Pre-processing:</w:t>
      </w:r>
      <w:r>
        <w:t xml:space="preserve"> </w:t>
      </w:r>
      <w:r>
        <w:t xml:space="preserve">Extraction, production, and initial processing of all raw materials constituting the Bill of Materials (BOM).</w:t>
      </w:r>
    </w:p>
    <w:p>
      <w:pPr>
        <w:numPr>
          <w:ilvl w:val="0"/>
          <w:numId w:val="1002"/>
        </w:numPr>
        <w:pStyle w:val="Compact"/>
      </w:pPr>
      <w:r>
        <w:rPr>
          <w:bCs/>
          <w:b/>
        </w:rPr>
        <w:t xml:space="preserve">Manufacturing/Production:</w:t>
      </w:r>
      <w:r>
        <w:t xml:space="preserve"> </w:t>
      </w:r>
      <w:r>
        <w:t xml:space="preserve">Transformation of pre-processed materials into the final SmartWidget Pro at the ugjyfluwqj manufacturing facility in China, including energy consumption and direct emissions.</w:t>
      </w:r>
    </w:p>
    <w:p>
      <w:pPr>
        <w:numPr>
          <w:ilvl w:val="0"/>
          <w:numId w:val="1002"/>
        </w:numPr>
        <w:pStyle w:val="Compact"/>
      </w:pPr>
      <w:r>
        <w:rPr>
          <w:bCs/>
          <w:b/>
        </w:rPr>
        <w:t xml:space="preserve">Distribution &amp; Storage:</w:t>
      </w:r>
      <w:r>
        <w:t xml:space="preserve"> </w:t>
      </w:r>
      <w:r>
        <w:t xml:space="preserve">Transportation of the finished product from the factory to the market, including both long-haul freight (China to Europe) and last-mile delivery.</w:t>
      </w:r>
    </w:p>
    <w:p>
      <w:pPr>
        <w:numPr>
          <w:ilvl w:val="0"/>
          <w:numId w:val="1002"/>
        </w:numPr>
        <w:pStyle w:val="Compact"/>
      </w:pPr>
      <w:r>
        <w:rPr>
          <w:bCs/>
          <w:b/>
        </w:rPr>
        <w:t xml:space="preserve">Use Phase:</w:t>
      </w:r>
      <w:r>
        <w:t xml:space="preserve"> </w:t>
      </w:r>
      <w:r>
        <w:t xml:space="preserve">Energy consumption by the SmartWidget Pro during its operational lifespan, based on specified energy consumption and product durability.</w:t>
      </w:r>
    </w:p>
    <w:p>
      <w:pPr>
        <w:numPr>
          <w:ilvl w:val="0"/>
          <w:numId w:val="1002"/>
        </w:numPr>
        <w:pStyle w:val="Compact"/>
      </w:pPr>
      <w:r>
        <w:rPr>
          <w:bCs/>
          <w:b/>
        </w:rPr>
        <w:t xml:space="preserve">End-of-Life (EoL):</w:t>
      </w:r>
      <w:r>
        <w:t xml:space="preserve"> </w:t>
      </w:r>
      <w:r>
        <w:t xml:space="preserve">Disposal or recycling of the product at the end of its functional life, accounting for recyclability and potential benefits from circular programs.</w:t>
      </w:r>
    </w:p>
    <w:bookmarkEnd w:id="25"/>
    <w:bookmarkStart w:id="26" w:name="Xb57f3bd1126efe03420b4f492d6355cc673a855"/>
    <w:p>
      <w:pPr>
        <w:pStyle w:val="Heading2"/>
      </w:pPr>
      <w:r>
        <w:t xml:space="preserve">2.2. Detailed Bill of Materials (BOM) - izxhwqdj</w:t>
      </w:r>
    </w:p>
    <w:p>
      <w:pPr>
        <w:pStyle w:val="FirstParagraph"/>
      </w:pPr>
      <w:r>
        <w:t xml:space="preserve">The following Bill of Materials provides a high-accuracy basis for material impact calculations. The \'Total Carbon\' for each item represents its cradle-to-gate emissions, including material acquisition and pre-processing, as provided.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0.15</w:t>
            </w:r>
          </w:p>
        </w:tc>
        <w:tc>
          <w:tcPr/>
          <w:p>
            <w:pPr>
              <w:pStyle w:val="Compact"/>
              <w:jc w:val="left"/>
            </w:pPr>
            <w:r>
              <w:t xml:space="preserve">4.5</w:t>
            </w:r>
          </w:p>
        </w:tc>
        <w:tc>
          <w:tcPr/>
          <w:p>
            <w:pPr>
              <w:pStyle w:val="Compact"/>
              <w:jc w:val="left"/>
            </w:pPr>
            <w:r>
              <w:t xml:space="preserve">0.675</w:t>
            </w:r>
          </w:p>
        </w:tc>
      </w:tr>
      <w:tr>
        <w:tc>
          <w:tcPr/>
          <w:p>
            <w:pPr>
              <w:pStyle w:val="Compact"/>
              <w:jc w:val="left"/>
            </w:pPr>
            <w:r>
              <w:t xml:space="preserve">M002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Recycling &amp; Molding</w:t>
            </w:r>
          </w:p>
        </w:tc>
        <w:tc>
          <w:tcPr/>
          <w:p>
            <w:pPr>
              <w:pStyle w:val="Compact"/>
              <w:jc w:val="left"/>
            </w:pPr>
            <w:r>
              <w:t xml:space="preserve">0.10</w:t>
            </w:r>
          </w:p>
        </w:tc>
        <w:tc>
          <w:tcPr/>
          <w:p>
            <w:pPr>
              <w:pStyle w:val="Compact"/>
              <w:jc w:val="left"/>
            </w:pPr>
            <w:r>
              <w:t xml:space="preserve">1.2</w:t>
            </w:r>
          </w:p>
        </w:tc>
        <w:tc>
          <w:tcPr/>
          <w:p>
            <w:pPr>
              <w:pStyle w:val="Compact"/>
              <w:jc w:val="left"/>
            </w:pPr>
            <w:r>
              <w:t xml:space="preserve">0.120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Assembly</w:t>
            </w:r>
          </w:p>
        </w:tc>
        <w:tc>
          <w:tcPr/>
          <w:p>
            <w:pPr>
              <w:pStyle w:val="Compact"/>
              <w:jc w:val="left"/>
            </w:pPr>
            <w:r>
              <w:t xml:space="preserve">0.02</w:t>
            </w:r>
          </w:p>
        </w:tc>
        <w:tc>
          <w:tcPr/>
          <w:p>
            <w:pPr>
              <w:pStyle w:val="Compact"/>
              <w:jc w:val="left"/>
            </w:pPr>
            <w:r>
              <w:t xml:space="preserve">10.0</w:t>
            </w:r>
          </w:p>
        </w:tc>
        <w:tc>
          <w:tcPr/>
          <w:p>
            <w:pPr>
              <w:pStyle w:val="Compact"/>
              <w:jc w:val="left"/>
            </w:pPr>
            <w:r>
              <w:t xml:space="preserve">0.200</w:t>
            </w:r>
          </w:p>
        </w:tc>
      </w:tr>
    </w:tbl>
    <w:p>
      <w:pPr>
        <w:pStyle w:val="BodyText"/>
      </w:pPr>
      <w:r>
        <w:rPr>
          <w:bCs/>
          <w:b/>
        </w:rPr>
        <w:t xml:space="preserve">Total Product Mass:</w:t>
      </w:r>
      <w:r>
        <w:t xml:space="preserve"> </w:t>
      </w:r>
      <w:r>
        <w:t xml:space="preserve">0.30 kg</w:t>
      </w:r>
    </w:p>
    <w:bookmarkEnd w:id="26"/>
    <w:bookmarkStart w:id="27" w:name="energy-inputs-and-renewable-energy-usage"/>
    <w:p>
      <w:pPr>
        <w:pStyle w:val="Heading2"/>
      </w:pPr>
      <w:r>
        <w:t xml:space="preserve">2.3. Energy Inputs and Renewable Energy Usage</w:t>
      </w:r>
    </w:p>
    <w:p>
      <w:pPr>
        <w:numPr>
          <w:ilvl w:val="0"/>
          <w:numId w:val="1003"/>
        </w:numPr>
        <w:pStyle w:val="Compact"/>
      </w:pPr>
      <w:r>
        <w:rPr>
          <w:bCs/>
          <w:b/>
        </w:rPr>
        <w:t xml:space="preserve">Energy Intensity (kWh/unit):</w:t>
      </w:r>
      <w:r>
        <w:t xml:space="preserve"> </w:t>
      </w:r>
      <w:r>
        <w:t xml:space="preserve">zxqypsuoqu (1.5 kWh/unit) for the production phase.</w:t>
      </w:r>
    </w:p>
    <w:p>
      <w:pPr>
        <w:numPr>
          <w:ilvl w:val="0"/>
          <w:numId w:val="1003"/>
        </w:numPr>
        <w:pStyle w:val="Compact"/>
      </w:pPr>
      <w:r>
        <w:rPr>
          <w:bCs/>
          <w:b/>
        </w:rPr>
        <w:t xml:space="preserve">Renewable Energy Usage (umojxddqeq):</w:t>
      </w:r>
      <w:r>
        <w:t xml:space="preserve"> </w:t>
      </w:r>
      <w:r>
        <w:t xml:space="preserve">50% of the production energy is sourced from renewable energy.</w:t>
      </w:r>
    </w:p>
    <w:p>
      <w:pPr>
        <w:numPr>
          <w:ilvl w:val="0"/>
          <w:numId w:val="1003"/>
        </w:numPr>
        <w:pStyle w:val="Compact"/>
      </w:pPr>
      <w:r>
        <w:rPr>
          <w:bCs/>
          <w:b/>
        </w:rPr>
        <w:t xml:space="preserve">Grid Emission Factor (China):</w:t>
      </w:r>
      <w:r>
        <w:t xml:space="preserve"> </w:t>
      </w:r>
      <w:r>
        <w:t xml:space="preserve">0.6205 kgCO2e/kWh (2023 National Average Electricity Carbon Footprint Factor).</w:t>
      </w:r>
    </w:p>
    <w:p>
      <w:pPr>
        <w:numPr>
          <w:ilvl w:val="0"/>
          <w:numId w:val="1003"/>
        </w:numPr>
        <w:pStyle w:val="Compact"/>
      </w:pPr>
      <w:r>
        <w:rPr>
          <w:bCs/>
          <w:b/>
        </w:rPr>
        <w:t xml:space="preserve">Grid Emission Factor (Europe Average for Use Phase):</w:t>
      </w:r>
      <w:r>
        <w:t xml:space="preserve"> </w:t>
      </w:r>
      <w:r>
        <w:t xml:space="preserve">0.250 kgCO2e/kWh (estimated average for 2026, considering decreasing trends and various European factors).</w:t>
      </w:r>
    </w:p>
    <w:bookmarkEnd w:id="27"/>
    <w:bookmarkStart w:id="28" w:name="logistics-data"/>
    <w:p>
      <w:pPr>
        <w:pStyle w:val="Heading2"/>
      </w:pPr>
      <w:r>
        <w:t xml:space="preserve">2.4. Logistics Data</w:t>
      </w:r>
    </w:p>
    <w:p>
      <w:pPr>
        <w:numPr>
          <w:ilvl w:val="0"/>
          <w:numId w:val="1004"/>
        </w:numPr>
        <w:pStyle w:val="Compact"/>
      </w:pPr>
      <w:r>
        <w:rPr>
          <w:bCs/>
          <w:b/>
        </w:rPr>
        <w:t xml:space="preserve">Product Mass for Transport:</w:t>
      </w:r>
      <w:r>
        <w:t xml:space="preserve"> </w:t>
      </w:r>
      <w:r>
        <w:t xml:space="preserve">0.30 kg (based on BOM).</w:t>
      </w:r>
    </w:p>
    <w:p>
      <w:pPr>
        <w:numPr>
          <w:ilvl w:val="0"/>
          <w:numId w:val="1004"/>
        </w:numPr>
        <w:pStyle w:val="Compact"/>
      </w:pPr>
      <w:r>
        <w:rPr>
          <w:bCs/>
          <w:b/>
        </w:rPr>
        <w:t xml:space="preserve">Transport Mode (Production to Market):</w:t>
      </w:r>
      <w:r>
        <w:t xml:space="preserve"> </w:t>
      </w:r>
      <w:r>
        <w:t xml:space="preserve">Multimodal (Ocean Freight + Heavy Duty Truck).</w:t>
      </w:r>
    </w:p>
    <w:p>
      <w:pPr>
        <w:numPr>
          <w:ilvl w:val="0"/>
          <w:numId w:val="1004"/>
        </w:numPr>
        <w:pStyle w:val="Compact"/>
      </w:pPr>
      <w:r>
        <w:rPr>
          <w:bCs/>
          <w:b/>
        </w:rPr>
        <w:t xml:space="preserve">Transport Distance (pyqrhhhhwp):</w:t>
      </w:r>
    </w:p>
    <w:p>
      <w:pPr>
        <w:numPr>
          <w:ilvl w:val="1"/>
          <w:numId w:val="1005"/>
        </w:numPr>
        <w:pStyle w:val="Compact"/>
      </w:pPr>
      <w:r>
        <w:t xml:space="preserve">Ocean Freight: 15,000 km (China to European Port)</w:t>
      </w:r>
    </w:p>
    <w:p>
      <w:pPr>
        <w:numPr>
          <w:ilvl w:val="1"/>
          <w:numId w:val="1005"/>
        </w:numPr>
        <w:pStyle w:val="Compact"/>
      </w:pPr>
      <w:r>
        <w:t xml:space="preserve">Heavy Duty Truck: 500 km (European Port to Distribution Center/Assembly)</w:t>
      </w:r>
    </w:p>
    <w:p>
      <w:pPr>
        <w:numPr>
          <w:ilvl w:val="0"/>
          <w:numId w:val="1004"/>
        </w:numPr>
        <w:pStyle w:val="Compact"/>
      </w:pPr>
      <w:r>
        <w:rPr>
          <w:bCs/>
          <w:b/>
        </w:rPr>
        <w:t xml:space="preserve">Last-Mile Delivery Channel (Delivery Type):</w:t>
      </w:r>
      <w:r>
        <w:t xml:space="preserve"> </w:t>
      </w:r>
      <w:r>
        <w:t xml:space="preserve">Parcel Delivery Van.</w:t>
      </w:r>
    </w:p>
    <w:p>
      <w:pPr>
        <w:numPr>
          <w:ilvl w:val="0"/>
          <w:numId w:val="1004"/>
        </w:numPr>
        <w:pStyle w:val="Compact"/>
      </w:pPr>
      <w:r>
        <w:rPr>
          <w:bCs/>
          <w:b/>
        </w:rPr>
        <w:t xml:space="preserve">Emission Factor - Ocean Freight:</w:t>
      </w:r>
      <w:r>
        <w:t xml:space="preserve"> </w:t>
      </w:r>
      <w:r>
        <w:t xml:space="preserve">0.016 kgCO2e/tkm (for container ships).</w:t>
      </w:r>
    </w:p>
    <w:p>
      <w:pPr>
        <w:numPr>
          <w:ilvl w:val="0"/>
          <w:numId w:val="1004"/>
        </w:numPr>
        <w:pStyle w:val="Compact"/>
      </w:pPr>
      <w:r>
        <w:rPr>
          <w:bCs/>
          <w:b/>
        </w:rPr>
        <w:t xml:space="preserve">Emission Factor - Heavy Duty Truck:</w:t>
      </w:r>
      <w:r>
        <w:t xml:space="preserve"> </w:t>
      </w:r>
      <w:r>
        <w:t xml:space="preserve">0.080 kgCO2e/tkm (average for road freight).</w:t>
      </w:r>
    </w:p>
    <w:p>
      <w:pPr>
        <w:numPr>
          <w:ilvl w:val="0"/>
          <w:numId w:val="1004"/>
        </w:numPr>
        <w:pStyle w:val="Compact"/>
      </w:pPr>
      <w:r>
        <w:rPr>
          <w:bCs/>
          <w:b/>
        </w:rPr>
        <w:t xml:space="preserve">Emission Factor - Parcel Delivery Van:</w:t>
      </w:r>
      <w:r>
        <w:t xml:space="preserve"> </w:t>
      </w:r>
      <w:r>
        <w:t xml:space="preserve">0.120 kgCO2e/tkm (estimated for last-mile inefficiency).</w:t>
      </w:r>
    </w:p>
    <w:bookmarkEnd w:id="28"/>
    <w:bookmarkStart w:id="29" w:name="use-phase-and-end-of-life-scenarios"/>
    <w:p>
      <w:pPr>
        <w:pStyle w:val="Heading2"/>
      </w:pPr>
      <w:r>
        <w:t xml:space="preserve">2.5. Use Phase and End-of-Life Scenarios</w:t>
      </w:r>
    </w:p>
    <w:p>
      <w:pPr>
        <w:numPr>
          <w:ilvl w:val="0"/>
          <w:numId w:val="1006"/>
        </w:numPr>
        <w:pStyle w:val="Compact"/>
      </w:pPr>
      <w:r>
        <w:rPr>
          <w:bCs/>
          <w:b/>
        </w:rPr>
        <w:t xml:space="preserve">Product Lifespan (svwigyvwyk):</w:t>
      </w:r>
      <w:r>
        <w:t xml:space="preserve"> </w:t>
      </w:r>
      <w:r>
        <w:t xml:space="preserve">3 years.</w:t>
      </w:r>
    </w:p>
    <w:p>
      <w:pPr>
        <w:numPr>
          <w:ilvl w:val="0"/>
          <w:numId w:val="1006"/>
        </w:numPr>
        <w:pStyle w:val="Compact"/>
      </w:pPr>
      <w:r>
        <w:rPr>
          <w:bCs/>
          <w:b/>
        </w:rPr>
        <w:t xml:space="preserve">Energy Consumption in Use (kmqiskfyhi):</w:t>
      </w:r>
      <w:r>
        <w:t xml:space="preserve"> </w:t>
      </w:r>
      <w:r>
        <w:t xml:space="preserve">10 kWh/year.</w:t>
      </w:r>
    </w:p>
    <w:p>
      <w:pPr>
        <w:numPr>
          <w:ilvl w:val="0"/>
          <w:numId w:val="1006"/>
        </w:numPr>
        <w:pStyle w:val="Compact"/>
      </w:pPr>
      <w:r>
        <w:rPr>
          <w:bCs/>
          <w:b/>
        </w:rPr>
        <w:t xml:space="preserve">Recyclability Percentage (qilhvkijui):</w:t>
      </w:r>
      <w:r>
        <w:t xml:space="preserve"> </w:t>
      </w:r>
      <w:r>
        <w:t xml:space="preserve">70%.</w:t>
      </w:r>
    </w:p>
    <w:p>
      <w:pPr>
        <w:numPr>
          <w:ilvl w:val="0"/>
          <w:numId w:val="1006"/>
        </w:numPr>
        <w:pStyle w:val="Compact"/>
      </w:pPr>
      <w:r>
        <w:rPr>
          <w:bCs/>
          <w:b/>
        </w:rPr>
        <w:t xml:space="preserve">Circular/Take-back Programs (kzzsqrmuny):</w:t>
      </w:r>
      <w:r>
        <w:t xml:space="preserve"> </w:t>
      </w:r>
      <w:r>
        <w:t xml:space="preserve">Yes, regional program available.</w:t>
      </w:r>
    </w:p>
    <w:p>
      <w:pPr>
        <w:numPr>
          <w:ilvl w:val="0"/>
          <w:numId w:val="1006"/>
        </w:numPr>
        <w:pStyle w:val="Compact"/>
      </w:pPr>
      <w:r>
        <w:rPr>
          <w:bCs/>
          <w:b/>
        </w:rPr>
        <w:t xml:space="preserve">EoL Emission Factor - Plastics Incineration:</w:t>
      </w:r>
      <w:r>
        <w:t xml:space="preserve"> </w:t>
      </w:r>
      <w:r>
        <w:t xml:space="preserve">0.021 kgCO2e/kg (for plastics waste combustion).</w:t>
      </w:r>
    </w:p>
    <w:p>
      <w:pPr>
        <w:numPr>
          <w:ilvl w:val="0"/>
          <w:numId w:val="1006"/>
        </w:numPr>
        <w:pStyle w:val="Compact"/>
      </w:pPr>
      <w:r>
        <w:rPr>
          <w:bCs/>
          <w:b/>
        </w:rPr>
        <w:t xml:space="preserve">EoL Emission Factor - Mixed Waste Landfill:</w:t>
      </w:r>
      <w:r>
        <w:t xml:space="preserve"> </w:t>
      </w:r>
      <w:r>
        <w:t xml:space="preserve">0.300 kgCO2e/kg (for conventional mixed waste landfilling).</w:t>
      </w:r>
    </w:p>
    <w:p>
      <w:r>
        <w:pict>
          <v:rect style="width:0;height:1.5pt" o:hralign="center" o:hrstd="t" o:hr="t"/>
        </w:pict>
      </w:r>
    </w:p>
    <w:bookmarkEnd w:id="29"/>
    <w:bookmarkEnd w:id="30"/>
    <w:bookmarkStart w:id="41" w:name="X439a6e6dcb43c636bf515ffaf3f59bce0bd6490"/>
    <w:p>
      <w:pPr>
        <w:pStyle w:val="Heading1"/>
      </w:pPr>
      <w:r>
        <w:t xml:space="preserve">3. Emission Calculation (Activity * Emission Factor = CO2e)</w:t>
      </w:r>
    </w:p>
    <w:p>
      <w:pPr>
        <w:pStyle w:val="FirstParagraph"/>
      </w:pPr>
      <w:r>
        <w:t xml:space="preserve">Emissions are calculated for each life cycle stage and categorized according to the GHG Protocol Scopes. All emissions are expressed in kilograms of CO2 equivalent (kgCO2e).</w:t>
      </w:r>
    </w:p>
    <w:bookmarkStart w:id="33" w:name="scope-3-upstream-emissions-value-chain"/>
    <w:p>
      <w:pPr>
        <w:pStyle w:val="Heading2"/>
      </w:pPr>
      <w:r>
        <w:t xml:space="preserve">3.1. Scope 3: Upstream Emissions (Value Chain)</w:t>
      </w:r>
    </w:p>
    <w:bookmarkStart w:id="31" w:name="materials-cradle-to-gate"/>
    <w:p>
      <w:pPr>
        <w:pStyle w:val="Heading3"/>
      </w:pPr>
      <w:r>
        <w:t xml:space="preserve">3.1.1. Materials (Cradle-to-Gate)</w:t>
      </w:r>
    </w:p>
    <w:p>
      <w:pPr>
        <w:pStyle w:val="FirstParagraph"/>
      </w:pPr>
      <w:r>
        <w:t xml:space="preserve">Based on the provided Detailed Bill of Materials (BOM), the pre-calculated \'Total Carbon\' values are summed to determine the material impact.</w:t>
      </w:r>
    </w:p>
    <w:p>
      <w:pPr>
        <w:numPr>
          <w:ilvl w:val="0"/>
          <w:numId w:val="1007"/>
        </w:numPr>
        <w:pStyle w:val="Compact"/>
      </w:pPr>
      <w:r>
        <w:t xml:space="preserve">Aluminium Casing: 0.675 kgCO2e</w:t>
      </w:r>
    </w:p>
    <w:p>
      <w:pPr>
        <w:numPr>
          <w:ilvl w:val="0"/>
          <w:numId w:val="1007"/>
        </w:numPr>
        <w:pStyle w:val="Compact"/>
      </w:pPr>
      <w:r>
        <w:t xml:space="preserve">Recycled Plastic Enclosure: 0.120 kgCO2e</w:t>
      </w:r>
    </w:p>
    <w:p>
      <w:pPr>
        <w:numPr>
          <w:ilvl w:val="0"/>
          <w:numId w:val="1007"/>
        </w:numPr>
        <w:pStyle w:val="Compact"/>
      </w:pPr>
      <w:r>
        <w:t xml:space="preserve">Printed Circuit Board (PCB): 0.450 kgCO2e</w:t>
      </w:r>
    </w:p>
    <w:p>
      <w:pPr>
        <w:numPr>
          <w:ilvl w:val="0"/>
          <w:numId w:val="1007"/>
        </w:numPr>
        <w:pStyle w:val="Compact"/>
      </w:pPr>
      <w:r>
        <w:t xml:space="preserve">Lithium-ion Battery: 0.200 kgCO2e</w:t>
      </w:r>
    </w:p>
    <w:p>
      <w:pPr>
        <w:pStyle w:val="FirstParagraph"/>
      </w:pPr>
      <w:r>
        <w:rPr>
          <w:bCs/>
          <w:b/>
        </w:rPr>
        <w:t xml:space="preserve">Total Material Emissions: 1.445 kgCO2e</w:t>
      </w:r>
    </w:p>
    <w:bookmarkEnd w:id="31"/>
    <w:bookmarkStart w:id="32" w:name="X5b5406f20c86da3e94c1616c3c9fc07a9f0acd7"/>
    <w:p>
      <w:pPr>
        <w:pStyle w:val="Heading3"/>
      </w:pPr>
      <w:r>
        <w:t xml:space="preserve">3.1.2. Upstream Transport (Raw Materials &amp; Components)</w:t>
      </w:r>
    </w:p>
    <w:p>
      <w:pPr>
        <w:pStyle w:val="FirstParagraph"/>
      </w:pPr>
      <w:r>
        <w:t xml:space="preserve">For simplification, emissions from raw material transport to the manufacturing facility in China are embedded within the \'Total Carbon\' figures of the BOM. However, the transport of the finished product to market is detailed below.</w:t>
      </w:r>
    </w:p>
    <w:bookmarkEnd w:id="32"/>
    <w:bookmarkEnd w:id="33"/>
    <w:bookmarkStart w:id="34" w:name="Xb5030ff635503b764b04e64bd2d65270d6ef4e8"/>
    <w:p>
      <w:pPr>
        <w:pStyle w:val="Heading2"/>
      </w:pPr>
      <w:r>
        <w:t xml:space="preserve">3.2. Scope 2: Production Energy Emissions (Purchased Electricity)</w:t>
      </w:r>
    </w:p>
    <w:p>
      <w:pPr>
        <w:pStyle w:val="FirstParagraph"/>
      </w:pPr>
      <w:r>
        <w:t xml:space="preserve">The manufacturing process in China consumes purchased electricity. The emissions are adjusted for renewable energy usage.</w:t>
      </w:r>
    </w:p>
    <w:p>
      <w:pPr>
        <w:numPr>
          <w:ilvl w:val="0"/>
          <w:numId w:val="1008"/>
        </w:numPr>
        <w:pStyle w:val="Compact"/>
      </w:pPr>
      <w:r>
        <w:t xml:space="preserve">Energy Intensity: 1.5 kWh/unit</w:t>
      </w:r>
    </w:p>
    <w:p>
      <w:pPr>
        <w:numPr>
          <w:ilvl w:val="0"/>
          <w:numId w:val="1008"/>
        </w:numPr>
        <w:pStyle w:val="Compact"/>
      </w:pPr>
      <w:r>
        <w:t xml:space="preserve">Renewable Energy Usage: 50%</w:t>
      </w:r>
    </w:p>
    <w:p>
      <w:pPr>
        <w:numPr>
          <w:ilvl w:val="0"/>
          <w:numId w:val="1008"/>
        </w:numPr>
        <w:pStyle w:val="Compact"/>
      </w:pPr>
      <w:r>
        <w:t xml:space="preserve">Non-Renewable Energy Consumption: 1.5 kWh * (1 - 0.50) = 0.75 kWh</w:t>
      </w:r>
    </w:p>
    <w:p>
      <w:pPr>
        <w:numPr>
          <w:ilvl w:val="0"/>
          <w:numId w:val="1008"/>
        </w:numPr>
        <w:pStyle w:val="Compact"/>
      </w:pPr>
      <w:r>
        <w:t xml:space="preserve">China Grid Emission Factor: 0.6205 kgCO2e/kWh</w:t>
      </w:r>
    </w:p>
    <w:p>
      <w:pPr>
        <w:pStyle w:val="FirstParagraph"/>
      </w:pPr>
      <w:r>
        <w:rPr>
          <w:bCs/>
          <w:b/>
        </w:rPr>
        <w:t xml:space="preserve">Production Energy Emissions:</w:t>
      </w:r>
      <w:r>
        <w:t xml:space="preserve"> </w:t>
      </w:r>
      <w:r>
        <w:t xml:space="preserve">0.75 kWh * 0.6205 kgCO2e/kWh =</w:t>
      </w:r>
      <w:r>
        <w:t xml:space="preserve"> </w:t>
      </w:r>
      <w:r>
        <w:rPr>
          <w:bCs/>
          <w:b/>
        </w:rPr>
        <w:t xml:space="preserve">0.465 kgCO2e</w:t>
      </w:r>
    </w:p>
    <w:bookmarkEnd w:id="34"/>
    <w:bookmarkStart w:id="38" w:name="scope-3-downstream-emissions-value-chain"/>
    <w:p>
      <w:pPr>
        <w:pStyle w:val="Heading2"/>
      </w:pPr>
      <w:r>
        <w:t xml:space="preserve">3.3. Scope 3: Downstream Emissions (Value Chain)</w:t>
      </w:r>
    </w:p>
    <w:bookmarkStart w:id="35" w:name="Xcdd352ce8847f98f4d8af2996c2913316bf1522"/>
    <w:p>
      <w:pPr>
        <w:pStyle w:val="Heading3"/>
      </w:pPr>
      <w:r>
        <w:t xml:space="preserve">3.3.1. Distribution &amp; Storage (Production to Market)</w:t>
      </w:r>
    </w:p>
    <w:p>
      <w:pPr>
        <w:pStyle w:val="FirstParagraph"/>
      </w:pPr>
      <w:r>
        <w:t xml:space="preserve">Calculations are based on the product mass and specified transport distances and modes.</w:t>
      </w:r>
    </w:p>
    <w:p>
      <w:pPr>
        <w:numPr>
          <w:ilvl w:val="0"/>
          <w:numId w:val="1009"/>
        </w:numPr>
        <w:pStyle w:val="Compact"/>
      </w:pPr>
      <w:r>
        <w:t xml:space="preserve">Product Mass: 0.30 kg = 0.0003 tonnes</w:t>
      </w:r>
    </w:p>
    <w:p>
      <w:pPr>
        <w:numPr>
          <w:ilvl w:val="0"/>
          <w:numId w:val="1009"/>
        </w:numPr>
        <w:pStyle w:val="Compact"/>
      </w:pPr>
      <w:r>
        <w:rPr>
          <w:bCs/>
          <w:b/>
        </w:rPr>
        <w:t xml:space="preserve">Ocean Freight (China to Europe):</w:t>
      </w:r>
    </w:p>
    <w:p>
      <w:pPr>
        <w:numPr>
          <w:ilvl w:val="1"/>
          <w:numId w:val="1010"/>
        </w:numPr>
        <w:pStyle w:val="Compact"/>
      </w:pPr>
      <w:r>
        <w:t xml:space="preserve">Distance: 15,000 km</w:t>
      </w:r>
    </w:p>
    <w:p>
      <w:pPr>
        <w:numPr>
          <w:ilvl w:val="1"/>
          <w:numId w:val="1010"/>
        </w:numPr>
        <w:pStyle w:val="Compact"/>
      </w:pPr>
      <w:r>
        <w:t xml:space="preserve">Emission Factor: 0.016 kgCO2e/tkm</w:t>
      </w:r>
    </w:p>
    <w:p>
      <w:pPr>
        <w:numPr>
          <w:ilvl w:val="1"/>
          <w:numId w:val="1010"/>
        </w:numPr>
        <w:pStyle w:val="Compact"/>
      </w:pPr>
      <w:r>
        <w:t xml:space="preserve">Emissions: 0.0003 t * 15,000 km * 0.016 kgCO2e/tkm =</w:t>
      </w:r>
      <w:r>
        <w:t xml:space="preserve"> </w:t>
      </w:r>
      <w:r>
        <w:rPr>
          <w:bCs/>
          <w:b/>
        </w:rPr>
        <w:t xml:space="preserve">0.072 kgCO2e</w:t>
      </w:r>
    </w:p>
    <w:p>
      <w:pPr>
        <w:numPr>
          <w:ilvl w:val="0"/>
          <w:numId w:val="1009"/>
        </w:numPr>
        <w:pStyle w:val="Compact"/>
      </w:pPr>
      <w:r>
        <w:rPr>
          <w:bCs/>
          <w:b/>
        </w:rPr>
        <w:t xml:space="preserve">Heavy Duty Truck (European Port to Distribution):</w:t>
      </w:r>
    </w:p>
    <w:p>
      <w:pPr>
        <w:numPr>
          <w:ilvl w:val="1"/>
          <w:numId w:val="1011"/>
        </w:numPr>
        <w:pStyle w:val="Compact"/>
      </w:pPr>
      <w:r>
        <w:t xml:space="preserve">Distance: 500 km</w:t>
      </w:r>
    </w:p>
    <w:p>
      <w:pPr>
        <w:numPr>
          <w:ilvl w:val="1"/>
          <w:numId w:val="1011"/>
        </w:numPr>
        <w:pStyle w:val="Compact"/>
      </w:pPr>
      <w:r>
        <w:t xml:space="preserve">Emission Factor: 0.080 kgCO2e/tkm</w:t>
      </w:r>
    </w:p>
    <w:p>
      <w:pPr>
        <w:numPr>
          <w:ilvl w:val="1"/>
          <w:numId w:val="1011"/>
        </w:numPr>
        <w:pStyle w:val="Compact"/>
      </w:pPr>
      <w:r>
        <w:t xml:space="preserve">Emissions: 0.0003 t * 500 km * 0.080 kgCO2e/tkm =</w:t>
      </w:r>
      <w:r>
        <w:t xml:space="preserve"> </w:t>
      </w:r>
      <w:r>
        <w:rPr>
          <w:bCs/>
          <w:b/>
        </w:rPr>
        <w:t xml:space="preserve">0.012 kgCO2e</w:t>
      </w:r>
    </w:p>
    <w:p>
      <w:pPr>
        <w:numPr>
          <w:ilvl w:val="0"/>
          <w:numId w:val="1009"/>
        </w:numPr>
        <w:pStyle w:val="Compact"/>
      </w:pPr>
      <w:r>
        <w:rPr>
          <w:bCs/>
          <w:b/>
        </w:rPr>
        <w:t xml:space="preserve">Last-Mile Delivery (Parcel Delivery Van):</w:t>
      </w:r>
    </w:p>
    <w:p>
      <w:pPr>
        <w:numPr>
          <w:ilvl w:val="1"/>
          <w:numId w:val="1012"/>
        </w:numPr>
        <w:pStyle w:val="Compact"/>
      </w:pPr>
      <w:r>
        <w:t xml:space="preserve">Assuming an average last-mile distance of 100 km for a product of this type.</w:t>
      </w:r>
    </w:p>
    <w:p>
      <w:pPr>
        <w:numPr>
          <w:ilvl w:val="1"/>
          <w:numId w:val="1012"/>
        </w:numPr>
        <w:pStyle w:val="Compact"/>
      </w:pPr>
      <w:r>
        <w:t xml:space="preserve">Emission Factor: 0.120 kgCO2e/tkm (estimated for parcel delivery)</w:t>
      </w:r>
    </w:p>
    <w:p>
      <w:pPr>
        <w:numPr>
          <w:ilvl w:val="1"/>
          <w:numId w:val="1012"/>
        </w:numPr>
        <w:pStyle w:val="Compact"/>
      </w:pPr>
      <w:r>
        <w:t xml:space="preserve">Emissions: 0.0003 t * 100 km * 0.120 kgCO2e/tkm =</w:t>
      </w:r>
      <w:r>
        <w:t xml:space="preserve"> </w:t>
      </w:r>
      <w:r>
        <w:rPr>
          <w:bCs/>
          <w:b/>
        </w:rPr>
        <w:t xml:space="preserve">0.0036 kgCO2e</w:t>
      </w:r>
    </w:p>
    <w:p>
      <w:pPr>
        <w:pStyle w:val="FirstParagraph"/>
      </w:pPr>
      <w:r>
        <w:rPr>
          <w:bCs/>
          <w:b/>
        </w:rPr>
        <w:t xml:space="preserve">Total Distribution Emissions: 0.072 + 0.012 + 0.0036 = 0.0876 kgCO2e</w:t>
      </w:r>
    </w:p>
    <w:bookmarkEnd w:id="35"/>
    <w:bookmarkStart w:id="36" w:name="use-phase"/>
    <w:p>
      <w:pPr>
        <w:pStyle w:val="Heading3"/>
      </w:pPr>
      <w:r>
        <w:t xml:space="preserve">3.3.2. Use Phase</w:t>
      </w:r>
    </w:p>
    <w:p>
      <w:pPr>
        <w:pStyle w:val="FirstParagraph"/>
      </w:pPr>
      <w:r>
        <w:t xml:space="preserve">Energy consumption over the product\'s lifespan, using an average European grid mix.</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3 years = 30 kWh</w:t>
      </w:r>
    </w:p>
    <w:p>
      <w:pPr>
        <w:numPr>
          <w:ilvl w:val="0"/>
          <w:numId w:val="1013"/>
        </w:numPr>
        <w:pStyle w:val="Compact"/>
      </w:pPr>
      <w:r>
        <w:t xml:space="preserve">Europe Grid Emission Factor: 0.250 kgCO2e/kWh (estimated average)</w:t>
      </w:r>
    </w:p>
    <w:p>
      <w:pPr>
        <w:pStyle w:val="FirstParagraph"/>
      </w:pPr>
      <w:r>
        <w:rPr>
          <w:bCs/>
          <w:b/>
        </w:rPr>
        <w:t xml:space="preserve">Use Phase Emissions:</w:t>
      </w:r>
      <w:r>
        <w:t xml:space="preserve"> </w:t>
      </w:r>
      <w:r>
        <w:t xml:space="preserve">30 kWh * 0.250 kgCO2e/kWh =</w:t>
      </w:r>
      <w:r>
        <w:t xml:space="preserve"> </w:t>
      </w:r>
      <w:r>
        <w:rPr>
          <w:bCs/>
          <w:b/>
        </w:rPr>
        <w:t xml:space="preserve">7.500 kgCO2e</w:t>
      </w:r>
    </w:p>
    <w:bookmarkEnd w:id="36"/>
    <w:bookmarkStart w:id="37" w:name="end-of-life-eol"/>
    <w:p>
      <w:pPr>
        <w:pStyle w:val="Heading3"/>
      </w:pPr>
      <w:r>
        <w:t xml:space="preserve">3.3.3. End-of-Life (EoL)</w:t>
      </w:r>
    </w:p>
    <w:p>
      <w:pPr>
        <w:pStyle w:val="FirstParagraph"/>
      </w:pPr>
      <w:r>
        <w:t xml:space="preserve">EoL emissions are calculated for the non-recycled portion of the product. The BOM indicates a total material mass of 0.30 kg and a recyclability percentage of 70%.</w:t>
      </w:r>
    </w:p>
    <w:p>
      <w:pPr>
        <w:numPr>
          <w:ilvl w:val="0"/>
          <w:numId w:val="1014"/>
        </w:numPr>
        <w:pStyle w:val="Compact"/>
      </w:pPr>
      <w:r>
        <w:t xml:space="preserve">Non-Recycled Mass: 0.30 kg * (1 - 0.70) = 0.09 kg</w:t>
      </w:r>
    </w:p>
    <w:p>
      <w:pPr>
        <w:numPr>
          <w:ilvl w:val="0"/>
          <w:numId w:val="1014"/>
        </w:numPr>
        <w:pStyle w:val="Compact"/>
      </w:pPr>
      <w:r>
        <w:t xml:space="preserve">Assuming the non-recycled portion is primarily disposed of through a mix of incineration and landfilling (e.g., 50% incineration, 50% landfill for plastics and other mixed waste).</w:t>
      </w:r>
    </w:p>
    <w:p>
      <w:pPr>
        <w:numPr>
          <w:ilvl w:val="0"/>
          <w:numId w:val="1014"/>
        </w:numPr>
        <w:pStyle w:val="Compact"/>
      </w:pPr>
      <w:r>
        <w:rPr>
          <w:bCs/>
          <w:b/>
        </w:rPr>
        <w:t xml:space="preserve">Incineration (e.g., Plastic component):</w:t>
      </w:r>
    </w:p>
    <w:p>
      <w:pPr>
        <w:numPr>
          <w:ilvl w:val="1"/>
          <w:numId w:val="1015"/>
        </w:numPr>
        <w:pStyle w:val="Compact"/>
      </w:pPr>
      <w:r>
        <w:t xml:space="preserve">Assumed plastic content in non-recycled waste: 0.05 kg (approx. 50% of the plastic component in BOM + some other mixed waste)</w:t>
      </w:r>
    </w:p>
    <w:p>
      <w:pPr>
        <w:numPr>
          <w:ilvl w:val="1"/>
          <w:numId w:val="1015"/>
        </w:numPr>
        <w:pStyle w:val="Compact"/>
      </w:pPr>
      <w:r>
        <w:t xml:space="preserve">Emission Factor (Plastics Incineration): 0.021 kgCO2e/kg</w:t>
      </w:r>
    </w:p>
    <w:p>
      <w:pPr>
        <w:numPr>
          <w:ilvl w:val="1"/>
          <w:numId w:val="1015"/>
        </w:numPr>
        <w:pStyle w:val="Compact"/>
      </w:pPr>
      <w:r>
        <w:t xml:space="preserve">Emissions: 0.05 kg * 0.021 kgCO2e/kg =</w:t>
      </w:r>
      <w:r>
        <w:t xml:space="preserve"> </w:t>
      </w:r>
      <w:r>
        <w:rPr>
          <w:bCs/>
          <w:b/>
        </w:rPr>
        <w:t xml:space="preserve">0.00105 kgCO2e</w:t>
      </w:r>
    </w:p>
    <w:p>
      <w:pPr>
        <w:numPr>
          <w:ilvl w:val="0"/>
          <w:numId w:val="1014"/>
        </w:numPr>
        <w:pStyle w:val="Compact"/>
      </w:pPr>
      <w:r>
        <w:rPr>
          <w:bCs/>
          <w:b/>
        </w:rPr>
        <w:t xml:space="preserve">Landfill (e.g., Other mixed non-recycled waste):</w:t>
      </w:r>
    </w:p>
    <w:p>
      <w:pPr>
        <w:numPr>
          <w:ilvl w:val="1"/>
          <w:numId w:val="1016"/>
        </w:numPr>
        <w:pStyle w:val="Compact"/>
      </w:pPr>
      <w:r>
        <w:t xml:space="preserve">Assumed mixed waste for landfill: 0.04 kg</w:t>
      </w:r>
    </w:p>
    <w:p>
      <w:pPr>
        <w:numPr>
          <w:ilvl w:val="1"/>
          <w:numId w:val="1016"/>
        </w:numPr>
        <w:pStyle w:val="Compact"/>
      </w:pPr>
      <w:r>
        <w:t xml:space="preserve">Emission Factor (Mixed Waste Landfill): 0.300 kgCO2e/kg</w:t>
      </w:r>
    </w:p>
    <w:p>
      <w:pPr>
        <w:numPr>
          <w:ilvl w:val="1"/>
          <w:numId w:val="1016"/>
        </w:numPr>
        <w:pStyle w:val="Compact"/>
      </w:pPr>
      <w:r>
        <w:t xml:space="preserve">Emissions: 0.04 kg * 0.300 kgCO2e/kg =</w:t>
      </w:r>
      <w:r>
        <w:t xml:space="preserve"> </w:t>
      </w:r>
      <w:r>
        <w:rPr>
          <w:bCs/>
          <w:b/>
        </w:rPr>
        <w:t xml:space="preserve">0.012 kgCO2e</w:t>
      </w:r>
    </w:p>
    <w:p>
      <w:pPr>
        <w:pStyle w:val="FirstParagraph"/>
      </w:pPr>
      <w:r>
        <w:rPr>
          <w:bCs/>
          <w:b/>
        </w:rPr>
        <w:t xml:space="preserve">Total End-of-Life Emissions: 0.00105 + 0.012 = 0.01305 kgCO2e</w:t>
      </w:r>
    </w:p>
    <w:p>
      <w:pPr>
        <w:pStyle w:val="BodyText"/>
      </w:pPr>
      <w:r>
        <w:t xml:space="preserve">The existence of "kzzsqrmuny" (regional circular/take-back programs) implies potential for further emissions reduction or avoided emissions, which would be quantified in a more detailed assessment beyond the product boundary to demonstrate circularity benefits.</w:t>
      </w:r>
    </w:p>
    <w:bookmarkEnd w:id="37"/>
    <w:bookmarkEnd w:id="38"/>
    <w:bookmarkStart w:id="39" w:name="total-product-carbon-footprint-summary"/>
    <w:p>
      <w:pPr>
        <w:pStyle w:val="Heading2"/>
      </w:pPr>
      <w:r>
        <w:t xml:space="preserve">3.4. Total Product Carbon Footprint Summary</w:t>
      </w:r>
    </w:p>
    <w:p>
      <w:pPr>
        <w:pStyle w:val="FirstParagraph"/>
      </w:pPr>
      <w:r>
        <w:t xml:space="preserve">The total PCF is the sum of emissions across all life cycle stages and scopes for one functional unit of SmartWidget Pro.</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 / GHG Scope</w:t>
            </w:r>
          </w:p>
        </w:tc>
        <w:tc>
          <w:tcPr/>
          <w:p>
            <w:pPr>
              <w:pStyle w:val="Compact"/>
              <w:jc w:val="left"/>
            </w:pPr>
            <w:r>
              <w:t xml:space="preserve">Emissions (kgCO2e)</w:t>
            </w:r>
          </w:p>
        </w:tc>
        <w:tc>
          <w:tcPr/>
          <w:p>
            <w:pPr>
              <w:pStyle w:val="Compact"/>
              <w:jc w:val="left"/>
            </w:pPr>
            <w:r>
              <w:t xml:space="preserve">GHG Protocol Scope</w:t>
            </w:r>
          </w:p>
        </w:tc>
      </w:tr>
      <w:tr>
        <w:tc>
          <w:tcPr/>
          <w:p>
            <w:pPr>
              <w:pStyle w:val="Compact"/>
              <w:jc w:val="left"/>
            </w:pPr>
            <w:r>
              <w:t xml:space="preserve">Materials (Cradle-to-Gate)</w:t>
            </w:r>
          </w:p>
        </w:tc>
        <w:tc>
          <w:tcPr/>
          <w:p>
            <w:pPr>
              <w:pStyle w:val="Compact"/>
              <w:jc w:val="left"/>
            </w:pPr>
            <w:r>
              <w:t xml:space="preserve">1.445</w:t>
            </w:r>
          </w:p>
        </w:tc>
        <w:tc>
          <w:tcPr/>
          <w:p>
            <w:pPr>
              <w:pStyle w:val="Compact"/>
              <w:jc w:val="left"/>
            </w:pPr>
            <w:r>
              <w:t xml:space="preserve">Scope 3 (Upstream)</w:t>
            </w:r>
          </w:p>
        </w:tc>
      </w:tr>
      <w:tr>
        <w:tc>
          <w:tcPr/>
          <w:p>
            <w:pPr>
              <w:pStyle w:val="Compact"/>
              <w:jc w:val="left"/>
            </w:pPr>
            <w:r>
              <w:t xml:space="preserve">Production Energy (China)</w:t>
            </w:r>
          </w:p>
        </w:tc>
        <w:tc>
          <w:tcPr/>
          <w:p>
            <w:pPr>
              <w:pStyle w:val="Compact"/>
              <w:jc w:val="left"/>
            </w:pPr>
            <w:r>
              <w:t xml:space="preserve">0.465</w:t>
            </w:r>
          </w:p>
        </w:tc>
        <w:tc>
          <w:tcPr/>
          <w:p>
            <w:pPr>
              <w:pStyle w:val="Compact"/>
              <w:jc w:val="left"/>
            </w:pPr>
            <w:r>
              <w:t xml:space="preserve">Scope 2</w:t>
            </w:r>
          </w:p>
        </w:tc>
      </w:tr>
      <w:tr>
        <w:tc>
          <w:tcPr/>
          <w:p>
            <w:pPr>
              <w:pStyle w:val="Compact"/>
              <w:jc w:val="left"/>
            </w:pPr>
            <w:r>
              <w:t xml:space="preserve">Distribution (Ocean Freight)</w:t>
            </w:r>
          </w:p>
        </w:tc>
        <w:tc>
          <w:tcPr/>
          <w:p>
            <w:pPr>
              <w:pStyle w:val="Compact"/>
              <w:jc w:val="left"/>
            </w:pPr>
            <w:r>
              <w:t xml:space="preserve">0.072</w:t>
            </w:r>
          </w:p>
        </w:tc>
        <w:tc>
          <w:tcPr/>
          <w:p>
            <w:pPr>
              <w:pStyle w:val="Compact"/>
              <w:jc w:val="left"/>
            </w:pPr>
            <w:r>
              <w:t xml:space="preserve">Scope 3 (Upstream/Downstream)</w:t>
            </w:r>
          </w:p>
        </w:tc>
      </w:tr>
      <w:tr>
        <w:tc>
          <w:tcPr/>
          <w:p>
            <w:pPr>
              <w:pStyle w:val="Compact"/>
              <w:jc w:val="left"/>
            </w:pPr>
            <w:r>
              <w:t xml:space="preserve">Distribution (Heavy Duty Truck)</w:t>
            </w:r>
          </w:p>
        </w:tc>
        <w:tc>
          <w:tcPr/>
          <w:p>
            <w:pPr>
              <w:pStyle w:val="Compact"/>
              <w:jc w:val="left"/>
            </w:pPr>
            <w:r>
              <w:t xml:space="preserve">0.012</w:t>
            </w:r>
          </w:p>
        </w:tc>
        <w:tc>
          <w:tcPr/>
          <w:p>
            <w:pPr>
              <w:pStyle w:val="Compact"/>
              <w:jc w:val="left"/>
            </w:pPr>
            <w:r>
              <w:t xml:space="preserve">Scope 3 (Upstream/Downstream)</w:t>
            </w:r>
          </w:p>
        </w:tc>
      </w:tr>
      <w:tr>
        <w:tc>
          <w:tcPr/>
          <w:p>
            <w:pPr>
              <w:pStyle w:val="Compact"/>
              <w:jc w:val="left"/>
            </w:pPr>
            <w:r>
              <w:t xml:space="preserve">Distribution (Last-Mile Delivery)</w:t>
            </w:r>
          </w:p>
        </w:tc>
        <w:tc>
          <w:tcPr/>
          <w:p>
            <w:pPr>
              <w:pStyle w:val="Compact"/>
              <w:jc w:val="left"/>
            </w:pPr>
            <w:r>
              <w:t xml:space="preserve">0.0036</w:t>
            </w:r>
          </w:p>
        </w:tc>
        <w:tc>
          <w:tcPr/>
          <w:p>
            <w:pPr>
              <w:pStyle w:val="Compact"/>
              <w:jc w:val="left"/>
            </w:pPr>
            <w:r>
              <w:t xml:space="preserve">Scope 3 (Downstream)</w:t>
            </w:r>
          </w:p>
        </w:tc>
      </w:tr>
      <w:tr>
        <w:tc>
          <w:tcPr/>
          <w:p>
            <w:pPr>
              <w:pStyle w:val="Compact"/>
              <w:jc w:val="left"/>
            </w:pPr>
            <w:r>
              <w:t xml:space="preserve">Use Phase (Electricity Consumption)</w:t>
            </w:r>
          </w:p>
        </w:tc>
        <w:tc>
          <w:tcPr/>
          <w:p>
            <w:pPr>
              <w:pStyle w:val="Compact"/>
              <w:jc w:val="left"/>
            </w:pPr>
            <w:r>
              <w:t xml:space="preserve">7.500</w:t>
            </w:r>
          </w:p>
        </w:tc>
        <w:tc>
          <w:tcPr/>
          <w:p>
            <w:pPr>
              <w:pStyle w:val="Compact"/>
              <w:jc w:val="left"/>
            </w:pPr>
            <w:r>
              <w:t xml:space="preserve">Scope 3 (Downstream)</w:t>
            </w:r>
          </w:p>
        </w:tc>
      </w:tr>
      <w:tr>
        <w:tc>
          <w:tcPr/>
          <w:p>
            <w:pPr>
              <w:pStyle w:val="Compact"/>
              <w:jc w:val="left"/>
            </w:pPr>
            <w:r>
              <w:t xml:space="preserve">End-of-Life (Disposal)</w:t>
            </w:r>
          </w:p>
        </w:tc>
        <w:tc>
          <w:tcPr/>
          <w:p>
            <w:pPr>
              <w:pStyle w:val="Compact"/>
              <w:jc w:val="left"/>
            </w:pPr>
            <w:r>
              <w:t xml:space="preserve">0.01305</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9.510 kgCO2e per unit</w:t>
            </w:r>
          </w:p>
        </w:tc>
        <w:tc>
          <w:tcPr/>
          <w:p>
            <w:pPr>
              <w:pStyle w:val="Compact"/>
            </w:pPr>
          </w:p>
        </w:tc>
      </w:tr>
    </w:tbl>
    <w:p>
      <w:pPr>
        <w:pStyle w:val="BodyText"/>
      </w:pPr>
      <w:r>
        <w:rPr>
          <w:bCs/>
          <w:b/>
        </w:rPr>
        <w:t xml:space="preserve">Scope 1 Emissions:</w:t>
      </w:r>
      <w:r>
        <w:t xml:space="preserve"> </w:t>
      </w:r>
      <w:r>
        <w:t xml:space="preserve">As the system boundary for the manufacturing process is "factory_gate" and energy consumption is listed as "purchased energy," there are no direct (Scope 1) emissions identified within this PCF analysis. Any direct emissions from company-owned or controlled sources at the manufacturing site would be categorized here if primary data were available and the scope included operational emissions beyond just purchased electricity.</w:t>
      </w:r>
    </w:p>
    <w:p>
      <w:pPr>
        <w:pStyle w:val="BodyText"/>
      </w:pPr>
      <w:r>
        <w:rPr>
          <w:bCs/>
          <w:b/>
        </w:rPr>
        <w:t xml:space="preserve">Scope 2 Emissions:</w:t>
      </w:r>
      <w:r>
        <w:t xml:space="preserve"> </w:t>
      </w:r>
      <w:r>
        <w:t xml:space="preserve">0.465 kgCO2e (from purchased electricity for production).</w:t>
      </w:r>
    </w:p>
    <w:p>
      <w:pPr>
        <w:pStyle w:val="BodyText"/>
      </w:pPr>
      <w:r>
        <w:rPr>
          <w:bCs/>
          <w:b/>
        </w:rPr>
        <w:t xml:space="preserve">Scope 3 Emissions:</w:t>
      </w:r>
      <w:r>
        <w:t xml:space="preserve"> </w:t>
      </w:r>
      <w:r>
        <w:t xml:space="preserve">1.445 (Materials) + 0.072 (Ocean Freight) + 0.012 (Heavy Duty Truck) + 0.0036 (Last-Mile) + 7.500 (Use Phase) + 0.01305 (EoL) = 9.04565 kgCO2e.</w:t>
      </w:r>
    </w:p>
    <w:p>
      <w:pPr>
        <w:pStyle w:val="BodyText"/>
      </w:pPr>
      <w:r>
        <w:rPr>
          <w:bCs/>
          <w:b/>
        </w:rPr>
        <w:t xml:space="preserve">Scope 3 Coverage:</w:t>
      </w:r>
      <w:r>
        <w:t xml:space="preserve"> </w:t>
      </w:r>
      <w:r>
        <w:t xml:space="preserve">(9.04565 / 9.510) * 100% = 95.12%. This meets the 2026 requirement for at least 95% Scope 3 reporting coverage.</w:t>
      </w:r>
    </w:p>
    <w:bookmarkEnd w:id="39"/>
    <w:bookmarkStart w:id="40" w:name="land-sector-and-removals-lsr-update"/>
    <w:p>
      <w:pPr>
        <w:pStyle w:val="Heading2"/>
      </w:pPr>
      <w:r>
        <w:t xml:space="preserve">3.5. 2026 Land Sector and Removals (LSR) Update</w:t>
      </w:r>
    </w:p>
    <w:p>
      <w:pPr>
        <w:pStyle w:val="FirstParagraph"/>
      </w:pPr>
      <w:r>
        <w:t xml:space="preserve">The GHG Protocol Land Sector and Removals (LSR) Standard aims to provide comprehensive guidance for accounting for GHG emissions and removals from land use and land-use change activities. While the provided data for SmartWidget Pro does not directly include specific land-use change impacts associated with its material sourcing or manufacturing, the principles of the LSR Standard are acknowledged. Future iterations of this PCF analysis should aim to integrate more granular data on deforestation, afforestation, or changes in soil carbon stocks related to raw material cultivation or land occupied by facilities, especially for bio-based materials or land-intensive processes. Currently, this report assumes that the emission factors used for materials implicitly account for land use change within their cradle-to-gate boundaries where applicable in the underlying databases.</w:t>
      </w:r>
    </w:p>
    <w:p>
      <w:r>
        <w:pict>
          <v:rect style="width:0;height:1.5pt" o:hralign="center" o:hrstd="t" o:hr="t"/>
        </w:pict>
      </w:r>
    </w:p>
    <w:bookmarkEnd w:id="40"/>
    <w:bookmarkEnd w:id="41"/>
    <w:bookmarkStart w:id="45" w:name="review-report"/>
    <w:p>
      <w:pPr>
        <w:pStyle w:val="Heading1"/>
      </w:pPr>
      <w:r>
        <w:t xml:space="preserve">4. Review &amp; Report</w:t>
      </w:r>
    </w:p>
    <w:p>
      <w:pPr>
        <w:pStyle w:val="FirstParagraph"/>
      </w:pPr>
      <w:r>
        <w:t xml:space="preserve">The Product Carbon Footprint for one unit of SmartWidget Pro is calculated to be</w:t>
      </w:r>
      <w:r>
        <w:t xml:space="preserve"> </w:t>
      </w:r>
      <w:r>
        <w:rPr>
          <w:bCs/>
          <w:b/>
        </w:rPr>
        <w:t xml:space="preserve">9.510 kgCO2e</w:t>
      </w:r>
      <w:r>
        <w:t xml:space="preserve">.</w:t>
      </w:r>
    </w:p>
    <w:bookmarkStart w:id="42" w:name="emission-hotspots"/>
    <w:p>
      <w:pPr>
        <w:pStyle w:val="Heading2"/>
      </w:pPr>
      <w:r>
        <w:t xml:space="preserve">4.1. Emission Hotspots</w:t>
      </w:r>
    </w:p>
    <w:p>
      <w:pPr>
        <w:pStyle w:val="FirstParagraph"/>
      </w:pPr>
      <w:r>
        <w:t xml:space="preserve">The analysis reveals the following major emission hotspots for the SmartWidget Pro:</w:t>
      </w:r>
    </w:p>
    <w:p>
      <w:pPr>
        <w:numPr>
          <w:ilvl w:val="0"/>
          <w:numId w:val="1017"/>
        </w:numPr>
        <w:pStyle w:val="Compact"/>
      </w:pPr>
      <w:r>
        <w:rPr>
          <w:bCs/>
          <w:b/>
        </w:rPr>
        <w:t xml:space="preserve">Use Phase (7.500 kgCO2e or ~78.9%):</w:t>
      </w:r>
      <w:r>
        <w:t xml:space="preserve"> </w:t>
      </w:r>
      <w:r>
        <w:t xml:space="preserve">This is by far the largest contributor to the product\'s carbon footprint, primarily due to the electricity consumption over its 3-year lifespan. This highlights the critical importance of energy efficiency during product operation and the impact of regional electricity grid mixes.</w:t>
      </w:r>
    </w:p>
    <w:p>
      <w:pPr>
        <w:numPr>
          <w:ilvl w:val="0"/>
          <w:numId w:val="1017"/>
        </w:numPr>
        <w:pStyle w:val="Compact"/>
      </w:pPr>
      <w:r>
        <w:rPr>
          <w:bCs/>
          <w:b/>
        </w:rPr>
        <w:t xml:space="preserve">Materials (1.445 kgCO2e or ~15.2%):</w:t>
      </w:r>
      <w:r>
        <w:t xml:space="preserve"> </w:t>
      </w:r>
      <w:r>
        <w:t xml:space="preserve">The production of raw materials, particularly the Printed Circuit Board and Aluminium Casing, contributes significantly. This underscores the need for sustainable material sourcing, design for material efficiency, and increased use of lower-carbon alternatives or recycled content.</w:t>
      </w:r>
    </w:p>
    <w:p>
      <w:pPr>
        <w:numPr>
          <w:ilvl w:val="0"/>
          <w:numId w:val="1017"/>
        </w:numPr>
        <w:pStyle w:val="Compact"/>
      </w:pPr>
      <w:r>
        <w:rPr>
          <w:bCs/>
          <w:b/>
        </w:rPr>
        <w:t xml:space="preserve">Production Energy (0.465 kgCO2e or ~4.9%):</w:t>
      </w:r>
      <w:r>
        <w:t xml:space="preserve"> </w:t>
      </w:r>
      <w:r>
        <w:t xml:space="preserve">While ugjyfluwqj utilizes 50% renewable energy, the remaining non-renewable portion sourced from the Chinese grid still represents a notable emission source. Further decarbonization of manufacturing operations or an increase in renewable energy adoption would reduce this impact.</w:t>
      </w:r>
    </w:p>
    <w:bookmarkEnd w:id="42"/>
    <w:bookmarkStart w:id="43" w:name="reliability-and-limitations"/>
    <w:p>
      <w:pPr>
        <w:pStyle w:val="Heading2"/>
      </w:pPr>
      <w:r>
        <w:t xml:space="preserve">4.2. Reliability and Limitations</w:t>
      </w:r>
    </w:p>
    <w:p>
      <w:pPr>
        <w:pStyle w:val="FirstParagraph"/>
      </w:pPr>
      <w:r>
        <w:t xml:space="preserve">The reliability of this PCF analysis is robust due to adherence to the GHG Protocol and the use of specific primary data where available (e.g., BOM \'Total Carbon\' values, energy usage) alongside recognized secondary emission factors. However, certain limitations apply:</w:t>
      </w:r>
    </w:p>
    <w:p>
      <w:pPr>
        <w:numPr>
          <w:ilvl w:val="0"/>
          <w:numId w:val="1018"/>
        </w:numPr>
        <w:pStyle w:val="Compact"/>
      </w:pPr>
      <w:r>
        <w:rPr>
          <w:bCs/>
          <w:b/>
        </w:rPr>
        <w:t xml:space="preserve">Secondary Data Reliance:</w:t>
      </w:r>
      <w:r>
        <w:t xml:space="preserve"> </w:t>
      </w:r>
      <w:r>
        <w:t xml:space="preserve">Emission factors for transport, grid electricity, and end-of-life scenarios are based on industry averages (e.g., Ecoinvent, DEFRA, national grid data). While representative, these may not perfectly capture the specificities of every supplier or region.</w:t>
      </w:r>
    </w:p>
    <w:p>
      <w:pPr>
        <w:numPr>
          <w:ilvl w:val="0"/>
          <w:numId w:val="1018"/>
        </w:numPr>
        <w:pStyle w:val="Compact"/>
      </w:pPr>
      <w:r>
        <w:rPr>
          <w:bCs/>
          <w:b/>
        </w:rPr>
        <w:t xml:space="preserve">Assumptions:</w:t>
      </w:r>
      <w:r>
        <w:t xml:space="preserve"> </w:t>
      </w:r>
      <w:r>
        <w:t xml:space="preserve">Assumptions were made for placeholder data (e.g., transport distances, last-mile delivery distance, breakdown of non-recycled waste streams), which could influence the final results.</w:t>
      </w:r>
    </w:p>
    <w:p>
      <w:pPr>
        <w:numPr>
          <w:ilvl w:val="0"/>
          <w:numId w:val="1018"/>
        </w:numPr>
        <w:pStyle w:val="Compact"/>
      </w:pPr>
      <w:r>
        <w:rPr>
          <w:bCs/>
          <w:b/>
        </w:rPr>
        <w:t xml:space="preserve">Dynamic Factors:</w:t>
      </w:r>
      <w:r>
        <w:t xml:space="preserve"> </w:t>
      </w:r>
      <w:r>
        <w:t xml:space="preserve">Emission factors for electricity grids are subject to change over time as energy mixes evolve. The use of 2023-2025 data aims for current relevance.</w:t>
      </w:r>
    </w:p>
    <w:p>
      <w:pPr>
        <w:numPr>
          <w:ilvl w:val="0"/>
          <w:numId w:val="1018"/>
        </w:numPr>
        <w:pStyle w:val="Compact"/>
      </w:pPr>
      <w:r>
        <w:rPr>
          <w:bCs/>
          <w:b/>
        </w:rPr>
        <w:t xml:space="preserve">LSR Standard:</w:t>
      </w:r>
      <w:r>
        <w:t xml:space="preserve"> </w:t>
      </w:r>
      <w:r>
        <w:t xml:space="preserve">While acknowledged, a detailed assessment of direct land-use change and carbon removals as per the 2026 LSR Standard would require more specific data on the origins and production methods of all raw materials, which was beyond the scope of provided parameters.</w:t>
      </w:r>
    </w:p>
    <w:bookmarkEnd w:id="43"/>
    <w:bookmarkStart w:id="44" w:name="recommendations"/>
    <w:p>
      <w:pPr>
        <w:pStyle w:val="Heading2"/>
      </w:pPr>
      <w:r>
        <w:t xml:space="preserve">4.3. Recommendations</w:t>
      </w:r>
    </w:p>
    <w:p>
      <w:pPr>
        <w:pStyle w:val="FirstParagraph"/>
      </w:pPr>
      <w:r>
        <w:t xml:space="preserve">Based on this PCF analysis, ugjyfluwqj should consider the following recommendations:</w:t>
      </w:r>
    </w:p>
    <w:p>
      <w:pPr>
        <w:numPr>
          <w:ilvl w:val="0"/>
          <w:numId w:val="1019"/>
        </w:numPr>
        <w:pStyle w:val="Compact"/>
      </w:pPr>
      <w:r>
        <w:rPr>
          <w:bCs/>
          <w:b/>
        </w:rPr>
        <w:t xml:space="preserve">Optimize Use Phase Efficiency:</w:t>
      </w:r>
      <w:r>
        <w:t xml:space="preserve"> </w:t>
      </w:r>
      <w:r>
        <w:t xml:space="preserve">Focus on product design innovations that drastically reduce energy consumption during the SmartWidget Pro\'s operational life. Explore low-power modes, extend battery efficiency, and encourage user behavior that minimizes energy use.</w:t>
      </w:r>
    </w:p>
    <w:p>
      <w:pPr>
        <w:numPr>
          <w:ilvl w:val="0"/>
          <w:numId w:val="1019"/>
        </w:numPr>
        <w:pStyle w:val="Compact"/>
      </w:pPr>
      <w:r>
        <w:rPr>
          <w:bCs/>
          <w:b/>
        </w:rPr>
        <w:t xml:space="preserve">Decarbonize Production:</w:t>
      </w:r>
      <w:r>
        <w:t xml:space="preserve"> </w:t>
      </w:r>
      <w:r>
        <w:t xml:space="preserve">Increase the percentage of renewable energy used in manufacturing facilities in China beyond 50%. This could involve on-site renewable generation, power purchase agreements (PPAs) for certified green electricity, or investment in renewable energy credits.</w:t>
      </w:r>
    </w:p>
    <w:p>
      <w:pPr>
        <w:numPr>
          <w:ilvl w:val="0"/>
          <w:numId w:val="1019"/>
        </w:numPr>
        <w:pStyle w:val="Compact"/>
      </w:pPr>
      <w:r>
        <w:rPr>
          <w:bCs/>
          <w:b/>
        </w:rPr>
        <w:t xml:space="preserve">Sustainable Material Sourcing:</w:t>
      </w:r>
      <w:r>
        <w:t xml:space="preserve"> </w:t>
      </w:r>
      <w:r>
        <w:t xml:space="preserve">Investigate opportunities to further reduce the carbon intensity of materials. This includes increasing recycled content for components like aluminium and plastics, exploring bio-based alternatives, and engaging with suppliers to reduce their cradle-to-gate emissions for high-impact items like PCBs and batteries.</w:t>
      </w:r>
    </w:p>
    <w:p>
      <w:pPr>
        <w:numPr>
          <w:ilvl w:val="0"/>
          <w:numId w:val="1019"/>
        </w:numPr>
        <w:pStyle w:val="Compact"/>
      </w:pPr>
      <w:r>
        <w:rPr>
          <w:bCs/>
          <w:b/>
        </w:rPr>
        <w:t xml:space="preserve">Enhance Circularity:</w:t>
      </w:r>
      <w:r>
        <w:t xml:space="preserve"> </w:t>
      </w:r>
      <w:r>
        <w:t xml:space="preserve">Leverage the existing "kzzsqrmuny" (regional circular/take-back programs) to maximize the actual recycling rates beyond 70% and explore opportunities for product refurbishment and reuse to extend lifespan and reduce the need for new material production.</w:t>
      </w:r>
    </w:p>
    <w:p>
      <w:pPr>
        <w:numPr>
          <w:ilvl w:val="0"/>
          <w:numId w:val="1019"/>
        </w:numPr>
        <w:pStyle w:val="Compact"/>
      </w:pPr>
      <w:r>
        <w:rPr>
          <w:bCs/>
          <w:b/>
        </w:rPr>
        <w:t xml:space="preserve">Supply Chain Engagement:</w:t>
      </w:r>
      <w:r>
        <w:t xml:space="preserve"> </w:t>
      </w:r>
      <w:r>
        <w:t xml:space="preserve">Work with logistics partners to optimize transport routes, improve load factors, and explore lower-emission transport modes where feasible (e.g., rail for European distribution).</w:t>
      </w:r>
    </w:p>
    <w:p>
      <w:pPr>
        <w:numPr>
          <w:ilvl w:val="0"/>
          <w:numId w:val="1019"/>
        </w:numPr>
        <w:pStyle w:val="Compact"/>
      </w:pPr>
      <w:r>
        <w:rPr>
          <w:bCs/>
          <w:b/>
        </w:rPr>
        <w:t xml:space="preserve">Continuous Monitoring:</w:t>
      </w:r>
      <w:r>
        <w:t xml:space="preserve"> </w:t>
      </w:r>
      <w:r>
        <w:t xml:space="preserve">Regularly update PCF calculations with more specific primary data, especially for major emission hotspots, and monitor changes in grid emission factors and material innovations.</w: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SmartWidget Pro</dc:title>
  <dc:creator/>
  <dc:description>High-detail Product Carbon Footprint (PCF) analysis report for SmartWidget Pro by EcoSolutions Inc., adhering to GHG Protocol and 2026 LSR update, prepared by Senior Sustainability Consultant Dr. Anya Sharma.</dc:description>
  <dc:language>en</dc:language>
  <cp:keywords/>
  <dcterms:created xsi:type="dcterms:W3CDTF">2026-05-30T16:44:29Z</dcterms:created>
  <dcterms:modified xsi:type="dcterms:W3CDTF">2026-05-30T16:44:29Z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