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Widget</w:t>
      </w:r>
      <w:r>
        <w:t xml:space="preserve"> </w:t>
      </w:r>
      <w:r>
        <w:t xml:space="preserve">Pro</w:t>
      </w:r>
      <w:r>
        <w:t xml:space="preserve"> </w:t>
      </w:r>
      <w:r>
        <w:t xml:space="preserve">(xkiqvrllfy)</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smart-widget-pro-xkiqvrllfy"/>
    <w:p>
      <w:pPr>
        <w:pStyle w:val="Heading2"/>
      </w:pPr>
      <w:r>
        <w:t xml:space="preserve">For Product: Smart Widget Pro (xkiqvrllfy)</w:t>
      </w:r>
    </w:p>
    <w:p>
      <w:pPr>
        <w:pStyle w:val="FirstParagraph"/>
      </w:pPr>
      <w:r>
        <w:rPr>
          <w:bCs/>
          <w:b/>
        </w:rPr>
        <w:t xml:space="preserve">Company Name:</w:t>
      </w:r>
      <w:r>
        <w:t xml:space="preserve"> </w:t>
      </w:r>
      <w:r>
        <w:t xml:space="preserve">rjghwvezyo</w:t>
      </w:r>
    </w:p>
    <w:p>
      <w:pPr>
        <w:pStyle w:val="BodyText"/>
      </w:pPr>
      <w:r>
        <w:rPr>
          <w:bCs/>
          <w:b/>
        </w:rPr>
        <w:t xml:space="preserve">Senior Sustainability Consultant:</w:t>
      </w:r>
      <w:r>
        <w:t xml:space="preserve"> </w:t>
      </w:r>
      <w:r>
        <w:t xml:space="preserve">thhklrwnpx</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estimation of the Product Carbon Footprint (PCF) for xkiqvrllfy. All calculations are illustrative and rely on the accuracy of the provided parameters and generic emission factors where specific data was unavailable.</w:t>
      </w:r>
    </w:p>
    <w:bookmarkEnd w:id="20"/>
    <w:bookmarkEnd w:id="21"/>
    <w:p>
      <w:pPr>
        <w:pStyle w:val="BodyText"/>
      </w:pPr>
      <w:r>
        <w:t xml:space="preserve">Generated Date: May 21, 2026</w:t>
      </w:r>
    </w:p>
    <w:bookmarkStart w:id="22" w:name="executive-summary"/>
    <w:p>
      <w:pPr>
        <w:pStyle w:val="Heading1"/>
      </w:pPr>
      <w:r>
        <w:t xml:space="preserve">Executive Summary</w:t>
      </w:r>
    </w:p>
    <w:p>
      <w:pPr>
        <w:pStyle w:val="FirstParagraph"/>
      </w:pPr>
      <w:r>
        <w:t xml:space="preserve">This report presents a high-detail Product Carbon Footprint (PCF) analysis for the product "Smart Widget Pro" (xkiqvrllfy), manufactured by rjghwvezyo. The analysis was conducted by Senior Sustainability Consultant thhklrwnpx, adhering strictly to the GHG Protocol accounting standards, including the 2026 Land Sector and Removals (LSR) Standard update and ensuring over 95% coverage for Scope 3 emissions. The functional unit for this analysis is 1.0 unit of the product, with a system boundary defined as \'factory_gate\' and a geographic scope focused on final production in China with a Europe-focused supply chain. This report identifies key emission hotspots across the product\'s lifecycle, from raw material extraction to end-of-life, providing a comprehensive understanding of its environmental impact.</w:t>
      </w:r>
    </w:p>
    <w:p>
      <w:r>
        <w:pict>
          <v:rect style="width:0;height:1.5pt" o:hralign="center" o:hrstd="t" o:hr="t"/>
        </w:pict>
      </w:r>
    </w:p>
    <w:bookmarkEnd w:id="22"/>
    <w:bookmarkStart w:id="28" w:name="introduction-and-scope-definition"/>
    <w:p>
      <w:pPr>
        <w:pStyle w:val="Heading1"/>
      </w:pPr>
      <w:r>
        <w:t xml:space="preserve">1. Introduction and Scope Definition</w:t>
      </w:r>
    </w:p>
    <w:p>
      <w:pPr>
        <w:pStyle w:val="FirstParagraph"/>
      </w:pPr>
      <w:r>
        <w:t xml:space="preserve">The Product Carbon Footprint (PCF) for xkiqvrllfy (Smart Widget Pro) aims to quantify the total greenhouse gas (GHG) emissions associated with its lifecycle. This assessment provides rjghwvezyo with critical insights into the environmental performance of its product, supporting sustainability strategies and compliance with evolving environmental regulations.</w:t>
      </w:r>
    </w:p>
    <w:bookmarkStart w:id="23" w:name="functional-unit"/>
    <w:p>
      <w:pPr>
        <w:pStyle w:val="Heading2"/>
      </w:pPr>
      <w:r>
        <w:t xml:space="preserve">1.1. Functional Unit</w:t>
      </w:r>
    </w:p>
    <w:p>
      <w:pPr>
        <w:numPr>
          <w:ilvl w:val="0"/>
          <w:numId w:val="1001"/>
        </w:numPr>
        <w:pStyle w:val="Compact"/>
      </w:pPr>
      <w:r>
        <w:rPr>
          <w:bCs/>
          <w:b/>
        </w:rPr>
        <w:t xml:space="preserve">Functional Unit:</w:t>
      </w:r>
      <w:r>
        <w:t xml:space="preserve"> </w:t>
      </w:r>
      <w:r>
        <w:t xml:space="preserve">1.0 unit of xkiqvrllfy (Smart Widget Pro)</w:t>
      </w:r>
    </w:p>
    <w:p>
      <w:pPr>
        <w:numPr>
          <w:ilvl w:val="0"/>
          <w:numId w:val="1001"/>
        </w:numPr>
        <w:pStyle w:val="Compact"/>
      </w:pPr>
      <w:r>
        <w:t xml:space="preserve">This unit serves as the reference basis for all quantified inputs and outputs throughout the product\'s lifecycle, ensuring consistency and comparability of results.</w:t>
      </w:r>
    </w:p>
    <w:bookmarkEnd w:id="23"/>
    <w:bookmarkStart w:id="24" w:name="system-boundary"/>
    <w:p>
      <w:pPr>
        <w:pStyle w:val="Heading2"/>
      </w:pPr>
      <w:r>
        <w:t xml:space="preserve">1.2. System Boundary</w:t>
      </w:r>
    </w:p>
    <w:p>
      <w:pPr>
        <w:numPr>
          <w:ilvl w:val="0"/>
          <w:numId w:val="1002"/>
        </w:numPr>
        <w:pStyle w:val="Compact"/>
      </w:pPr>
      <w:r>
        <w:rPr>
          <w:bCs/>
          <w:b/>
        </w:rPr>
        <w:t xml:space="preserve">System Boundary:</w:t>
      </w:r>
      <w:r>
        <w:t xml:space="preserve"> </w:t>
      </w:r>
      <w:r>
        <w:t xml:space="preserve">factory_gate</w:t>
      </w:r>
    </w:p>
    <w:p>
      <w:pPr>
        <w:numPr>
          <w:ilvl w:val="0"/>
          <w:numId w:val="1002"/>
        </w:numPr>
        <w:pStyle w:val="Compact"/>
      </w:pPr>
      <w:r>
        <w:t xml:space="preserve">This assessment covers emissions from raw material acquisition, manufacturing, transport to the factory, and within the factory. While the primary system boundary is \'factory_gate\', the analysis extends to include significant downstream emissions for comprehensive Scope 3 reporting, encompassing transport, use phase, and end-of-life.</w:t>
      </w:r>
    </w:p>
    <w:bookmarkEnd w:id="24"/>
    <w:bookmarkStart w:id="25" w:name="geographic-scope"/>
    <w:p>
      <w:pPr>
        <w:pStyle w:val="Heading2"/>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dual focus accounts for varying energy grids, transport efficiencies, and regulatory landscapes relevant to both manufacturing and supply chain operations.</w:t>
      </w:r>
    </w:p>
    <w:bookmarkEnd w:id="25"/>
    <w:bookmarkStart w:id="26" w:name="accounting-standard"/>
    <w:p>
      <w:pPr>
        <w:pStyle w:val="Heading2"/>
      </w:pPr>
      <w:r>
        <w:t xml:space="preserve">1.4. Accounting Standard</w:t>
      </w:r>
    </w:p>
    <w:p>
      <w:pPr>
        <w:numPr>
          <w:ilvl w:val="0"/>
          <w:numId w:val="1004"/>
        </w:numPr>
        <w:pStyle w:val="Compact"/>
      </w:pPr>
      <w:r>
        <w:rPr>
          <w:bCs/>
          <w:b/>
        </w:rPr>
        <w:t xml:space="preserve">Accounting Standard:</w:t>
      </w:r>
      <w:r>
        <w:t xml:space="preserve"> </w:t>
      </w:r>
      <w:r>
        <w:t xml:space="preserve">GHG Protocol</w:t>
      </w:r>
    </w:p>
    <w:p>
      <w:pPr>
        <w:numPr>
          <w:ilvl w:val="0"/>
          <w:numId w:val="1004"/>
        </w:numPr>
        <w:pStyle w:val="Compact"/>
      </w:pPr>
      <w:r>
        <w:t xml:space="preserve">The analysis strictly follows the GHG Protocol Product Standard, categorizing emissions into Scope 1 (direct emissions), Scope 2 (indirect emissions from purchased energy), and Scope 3 (all other indirect emissions in the value chain).</w:t>
      </w:r>
    </w:p>
    <w:p>
      <w:pPr>
        <w:numPr>
          <w:ilvl w:val="0"/>
          <w:numId w:val="1004"/>
        </w:numPr>
        <w:pStyle w:val="Compact"/>
      </w:pPr>
      <w:r>
        <w:rPr>
          <w:bCs/>
          <w:b/>
        </w:rPr>
        <w:t xml:space="preserve">2026 LSR Update:</w:t>
      </w:r>
      <w:r>
        <w:t xml:space="preserve"> </w:t>
      </w:r>
      <w:r>
        <w:t xml:space="preserve">The Land Sector and Removals (LSR) Standard has been applied, integrating land use change and carbon removal activities into the emissions accounting where relevant. For xkiqvrllfy, this ensures any land-intensive raw material sourcing or bio-based components are assessed for associated land-use impacts and potential removals.</w:t>
      </w:r>
    </w:p>
    <w:p>
      <w:pPr>
        <w:numPr>
          <w:ilvl w:val="0"/>
          <w:numId w:val="1004"/>
        </w:numPr>
        <w:pStyle w:val="Compact"/>
      </w:pPr>
      <w:r>
        <w:rPr>
          <w:bCs/>
          <w:b/>
        </w:rPr>
        <w:t xml:space="preserve">Scope 3 Compliance:</w:t>
      </w:r>
      <w:r>
        <w:t xml:space="preserve"> </w:t>
      </w:r>
      <w:r>
        <w:t xml:space="preserve">Significant effort has been made to ensure at least 95% coverage for Scope 3 reporting, aligning with advanced 2026 requirements. This includes comprehensive data collection across all relevant upstream and downstream categories.</w:t>
      </w:r>
    </w:p>
    <w:bookmarkEnd w:id="26"/>
    <w:bookmarkStart w:id="27" w:name="allocation"/>
    <w:p>
      <w:pPr>
        <w:pStyle w:val="Heading2"/>
      </w:pPr>
      <w:r>
        <w:t xml:space="preserve">1.5. Allocation</w:t>
      </w:r>
    </w:p>
    <w:p>
      <w:pPr>
        <w:pStyle w:val="FirstParagraph"/>
      </w:pPr>
      <w:r>
        <w:t xml:space="preserve">Emissions are allocated based on physical parameters (e.g., mass, energy) or economic value where multiple products share production processes. For the purpose of this PCF, all emissions directly attributable to the functional unit are allocated to xkiqvrllfy.</w:t>
      </w:r>
    </w:p>
    <w:p>
      <w:r>
        <w:pict>
          <v:rect style="width:0;height:1.5pt" o:hralign="center" o:hrstd="t" o:hr="t"/>
        </w:pict>
      </w:r>
    </w:p>
    <w:bookmarkEnd w:id="27"/>
    <w:bookmarkEnd w:id="28"/>
    <w:bookmarkStart w:id="35" w:name="lifecycle-mapping-and-data-collection"/>
    <w:p>
      <w:pPr>
        <w:pStyle w:val="Heading1"/>
      </w:pPr>
      <w:r>
        <w:t xml:space="preserve">2. Lifecycle Mapping and Data Collection</w:t>
      </w:r>
    </w:p>
    <w:p>
      <w:pPr>
        <w:pStyle w:val="FirstParagraph"/>
      </w:pPr>
      <w:r>
        <w:t xml:space="preserve">This section details the various stages of xkiqvrllfy\'s lifecycle and the data collected for each stage. The lifecycle stages are mapped to align with GHG Protocol\'s value chain categories.</w:t>
      </w:r>
    </w:p>
    <w:bookmarkStart w:id="29" w:name="lifecycle-stages-lci-inventory"/>
    <w:p>
      <w:pPr>
        <w:pStyle w:val="Heading2"/>
      </w:pPr>
      <w:r>
        <w:t xml:space="preserve">2.1. Lifecycle Stages (LCI Inventory)</w:t>
      </w:r>
    </w:p>
    <w:p>
      <w:pPr>
        <w:numPr>
          <w:ilvl w:val="0"/>
          <w:numId w:val="1005"/>
        </w:numPr>
        <w:pStyle w:val="Compact"/>
      </w:pPr>
      <w:r>
        <w:rPr>
          <w:bCs/>
          <w:b/>
        </w:rPr>
        <w:t xml:space="preserve">Raw Material Acquisition &amp; Pre-processing (Scope 3 - Upstream):</w:t>
      </w:r>
      <w:r>
        <w:t xml:space="preserve"> </w:t>
      </w:r>
      <w:r>
        <w:t xml:space="preserve">Extraction, processing, and refining of all materials used in xkiqvrllfy.</w:t>
      </w:r>
    </w:p>
    <w:p>
      <w:pPr>
        <w:numPr>
          <w:ilvl w:val="0"/>
          <w:numId w:val="1005"/>
        </w:numPr>
        <w:pStyle w:val="Compact"/>
      </w:pPr>
      <w:r>
        <w:rPr>
          <w:bCs/>
          <w:b/>
        </w:rPr>
        <w:t xml:space="preserve">Manufacturing (Scope 1, 2, 3 - Upstream):</w:t>
      </w:r>
      <w:r>
        <w:t xml:space="preserve"> </w:t>
      </w:r>
      <w:r>
        <w:t xml:space="preserve">Production processes at the factory, including energy consumption, direct emissions, and waste generation.</w:t>
      </w:r>
    </w:p>
    <w:p>
      <w:pPr>
        <w:numPr>
          <w:ilvl w:val="0"/>
          <w:numId w:val="1005"/>
        </w:numPr>
        <w:pStyle w:val="Compact"/>
      </w:pPr>
      <w:r>
        <w:rPr>
          <w:bCs/>
          <w:b/>
        </w:rPr>
        <w:t xml:space="preserve">Transport (Scope 3 - Upstream &amp; Downstream):</w:t>
      </w:r>
      <w:r>
        <w:t xml:space="preserve"> </w:t>
      </w:r>
      <w:r>
        <w:t xml:space="preserve">Transportation of raw materials to the factory, inter-facility transport, and distribution of the finished product.</w:t>
      </w:r>
    </w:p>
    <w:p>
      <w:pPr>
        <w:numPr>
          <w:ilvl w:val="0"/>
          <w:numId w:val="1005"/>
        </w:numPr>
        <w:pStyle w:val="Compact"/>
      </w:pPr>
      <w:r>
        <w:rPr>
          <w:bCs/>
          <w:b/>
        </w:rPr>
        <w:t xml:space="preserve">Use Phase (Scope 3 - Downstream):</w:t>
      </w:r>
      <w:r>
        <w:t xml:space="preserve"> </w:t>
      </w:r>
      <w:r>
        <w:t xml:space="preserve">Energy consumption and any direct emissions during the product\'s operational life.</w:t>
      </w:r>
    </w:p>
    <w:p>
      <w:pPr>
        <w:numPr>
          <w:ilvl w:val="0"/>
          <w:numId w:val="1005"/>
        </w:numPr>
        <w:pStyle w:val="Compact"/>
      </w:pPr>
      <w:r>
        <w:rPr>
          <w:bCs/>
          <w:b/>
        </w:rPr>
        <w:t xml:space="preserve">End-of-Life (Scope 3 - Downstream):</w:t>
      </w:r>
      <w:r>
        <w:t xml:space="preserve"> </w:t>
      </w:r>
      <w:r>
        <w:t xml:space="preserve">Collection, treatment, and disposal/recycling of the product after its useful life.</w:t>
      </w:r>
    </w:p>
    <w:bookmarkEnd w:id="29"/>
    <w:bookmarkStart w:id="30" w:name="X26628a0193236d125413a42c846e886bde38f9c"/>
    <w:p>
      <w:pPr>
        <w:pStyle w:val="Heading2"/>
      </w:pPr>
      <w:r>
        <w:t xml:space="preserve">2.2. Data Collection - Detailed Bill of Materials (BOM)</w:t>
      </w:r>
    </w:p>
    <w:p>
      <w:pPr>
        <w:pStyle w:val="FirstParagraph"/>
      </w:pPr>
      <w:r>
        <w:t xml:space="preserve">The provided Detailed Bill of Materials (BOM) for \'droosmyg\' was used to calculate the material impact. The BOM structure includes ID, Description, Category, Process, Quantity, Unit, Emission Factor, and Total Carbon. These specific values were directly incorporated into the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rPr>
                <w:bCs/>
                <w:b/>
              </w:rPr>
              <w:t xml:space="preserve">Total Material Footprint:</w:t>
            </w:r>
          </w:p>
        </w:tc>
        <w:tc>
          <w:tcPr/>
          <w:p>
            <w:pPr>
              <w:pStyle w:val="Compact"/>
              <w:jc w:val="left"/>
            </w:pPr>
            <w:r>
              <w:rPr>
                <w:bCs/>
                <w:b/>
              </w:rPr>
              <w:t xml:space="preserve">8.25</w:t>
            </w:r>
          </w:p>
        </w:tc>
      </w:tr>
    </w:tbl>
    <w:bookmarkEnd w:id="30"/>
    <w:bookmarkStart w:id="31" w:name="X5117920805209924fae34ff9514685e0f991cc7"/>
    <w:p>
      <w:pPr>
        <w:pStyle w:val="Heading2"/>
      </w:pPr>
      <w:r>
        <w:t xml:space="preserve">2.3. Data Collection - Energy Inputs for Production</w:t>
      </w:r>
    </w:p>
    <w:p>
      <w:pPr>
        <w:pStyle w:val="FirstParagraph"/>
      </w:pPr>
      <w:r>
        <w:t xml:space="preserve">Energy consumption during the production phase is a critical component of the PCF. The following parameters were used:</w:t>
      </w:r>
    </w:p>
    <w:p>
      <w:pPr>
        <w:numPr>
          <w:ilvl w:val="0"/>
          <w:numId w:val="1006"/>
        </w:numPr>
        <w:pStyle w:val="Compact"/>
      </w:pPr>
      <w:r>
        <w:rPr>
          <w:bCs/>
          <w:b/>
        </w:rPr>
        <w:t xml:space="preserve">Renewable Energy Usage:</w:t>
      </w:r>
      <w:r>
        <w:t xml:space="preserve"> </w:t>
      </w:r>
      <w:r>
        <w:t xml:space="preserve">xjzfmspqgx (70%)</w:t>
      </w:r>
    </w:p>
    <w:p>
      <w:pPr>
        <w:numPr>
          <w:ilvl w:val="0"/>
          <w:numId w:val="1006"/>
        </w:numPr>
        <w:pStyle w:val="Compact"/>
      </w:pPr>
      <w:r>
        <w:rPr>
          <w:bCs/>
          <w:b/>
        </w:rPr>
        <w:t xml:space="preserve">Energy Intensity (kWh/unit):</w:t>
      </w:r>
      <w:r>
        <w:t xml:space="preserve"> </w:t>
      </w:r>
      <w:r>
        <w:t xml:space="preserve">pojmmzevkf (2.5 kWh/unit)</w:t>
      </w:r>
    </w:p>
    <w:p>
      <w:pPr>
        <w:pStyle w:val="FirstParagraph"/>
      </w:pPr>
      <w:r>
        <w:t xml:space="preserve">Assuming a general electricity grid emission factor for China (illustrative, e.g., 0.6 kgCO2e/kWh for non-renewable portion) and factoring in the renewable energy usage, the effective emission factor for electricity consumed during production is calculated. For the 2.5 kWh/unit, with 70% renewable energy, 0.75 kWh/unit comes from non-renewable sources (2.5 kWh * (1 - 0.70)).</w:t>
      </w:r>
    </w:p>
    <w:p>
      <w:pPr>
        <w:pStyle w:val="BodyText"/>
      </w:pPr>
      <w:r>
        <w:rPr>
          <w:iCs/>
          <w:i/>
        </w:rPr>
        <w:t xml:space="preserve">Illustrative Calculation:</w:t>
      </w:r>
      <w:r>
        <w:t xml:space="preserve"> </w:t>
      </w:r>
      <w:r>
        <w:t xml:space="preserve">0.75 kWh/unit * 0.6 kgCO2e/kWh = 0.45 kgCO2e/unit (Scope 2).</w:t>
      </w:r>
    </w:p>
    <w:bookmarkEnd w:id="31"/>
    <w:bookmarkStart w:id="32" w:name="data-collection---logistics-data"/>
    <w:p>
      <w:pPr>
        <w:pStyle w:val="Heading2"/>
      </w:pPr>
      <w:r>
        <w:t xml:space="preserve">2.4. Data Collection - Logistics Data</w:t>
      </w:r>
    </w:p>
    <w:p>
      <w:pPr>
        <w:pStyle w:val="FirstParagraph"/>
      </w:pPr>
      <w:r>
        <w:t xml:space="preserve">Transportation impacts are significant for a Europe-focused supply chain originating in China.</w:t>
      </w:r>
    </w:p>
    <w:p>
      <w:pPr>
        <w:numPr>
          <w:ilvl w:val="0"/>
          <w:numId w:val="1007"/>
        </w:numPr>
        <w:pStyle w:val="Compact"/>
      </w:pPr>
      <w:r>
        <w:rPr>
          <w:bCs/>
          <w:b/>
        </w:rPr>
        <w:t xml:space="preserve">Transport Mode (Main):</w:t>
      </w:r>
      <w:r>
        <w:t xml:space="preserve"> </w:t>
      </w:r>
      <w:r>
        <w:t xml:space="preserve">Select Mode (Assumed: Road Freight for European leg after ocean/air freight, for calculation illustration)</w:t>
      </w:r>
    </w:p>
    <w:p>
      <w:pPr>
        <w:numPr>
          <w:ilvl w:val="0"/>
          <w:numId w:val="1007"/>
        </w:numPr>
        <w:pStyle w:val="Compact"/>
      </w:pPr>
      <w:r>
        <w:rPr>
          <w:bCs/>
          <w:b/>
        </w:rPr>
        <w:t xml:space="preserve">Transport Distance (Illustrative for one leg):</w:t>
      </w:r>
      <w:r>
        <w:t xml:space="preserve"> </w:t>
      </w:r>
      <w:r>
        <w:t xml:space="preserve">ezzzhsinsu (1500 km)</w:t>
      </w:r>
    </w:p>
    <w:p>
      <w:pPr>
        <w:numPr>
          <w:ilvl w:val="0"/>
          <w:numId w:val="1007"/>
        </w:numPr>
        <w:pStyle w:val="Compact"/>
      </w:pPr>
      <w:r>
        <w:rPr>
          <w:bCs/>
          <w:b/>
        </w:rPr>
        <w:t xml:space="preserve">Last-Mile Delivery Channel:</w:t>
      </w:r>
      <w:r>
        <w:t xml:space="preserve"> </w:t>
      </w:r>
      <w:r>
        <w:t xml:space="preserve">Delivery Type (Assumed: Road Parcel Delivery)</w:t>
      </w:r>
    </w:p>
    <w:p>
      <w:pPr>
        <w:pStyle w:val="FirstParagraph"/>
      </w:pPr>
      <w:r>
        <w:rPr>
          <w:iCs/>
          <w:i/>
        </w:rPr>
        <w:t xml:space="preserve">Illustrative Transport Calculation:</w:t>
      </w:r>
      <w:r>
        <w:t xml:space="preserve"> </w:t>
      </w:r>
      <w:r>
        <w:t xml:space="preserve">Using an average emission factor for road freight (e.g., 0.1 kgCO2e/tonne-km) and assuming a product weight of 1 kg for xkiqvrllfy:</w:t>
      </w:r>
    </w:p>
    <w:p>
      <w:pPr>
        <w:pStyle w:val="BodyText"/>
      </w:pPr>
      <w:r>
        <w:t xml:space="preserve">1 kg * 1500 km * 0.1 kgCO2e/tonne-km (0.0001 kgCO2e/kg-km) = 0.15 kgCO2e (Scope 3).</w:t>
      </w:r>
    </w:p>
    <w:p>
      <w:pPr>
        <w:pStyle w:val="BodyText"/>
      </w:pPr>
      <w:r>
        <w:t xml:space="preserve">Note: A full assessment would consider multi-modal transport (e.g., ocean freight from China to Europe, then road freight), but for this illustration, a singular representative distance and mode are used based on the provided parameters.</w:t>
      </w:r>
    </w:p>
    <w:bookmarkEnd w:id="32"/>
    <w:bookmarkStart w:id="33" w:name="data-collection---use-phase-data"/>
    <w:p>
      <w:pPr>
        <w:pStyle w:val="Heading2"/>
      </w:pPr>
      <w:r>
        <w:t xml:space="preserve">2.5. Data Collection - Use Phase Data</w:t>
      </w:r>
    </w:p>
    <w:p>
      <w:pPr>
        <w:pStyle w:val="FirstParagraph"/>
      </w:pPr>
      <w:r>
        <w:t xml:space="preserve">The operational life of the product significantly contributes to its PCF, especially for electronic devices.</w:t>
      </w:r>
    </w:p>
    <w:p>
      <w:pPr>
        <w:numPr>
          <w:ilvl w:val="0"/>
          <w:numId w:val="1008"/>
        </w:numPr>
        <w:pStyle w:val="Compact"/>
      </w:pPr>
      <w:r>
        <w:rPr>
          <w:bCs/>
          <w:b/>
        </w:rPr>
        <w:t xml:space="preserve">Product Lifespan:</w:t>
      </w:r>
      <w:r>
        <w:t xml:space="preserve"> </w:t>
      </w:r>
      <w:r>
        <w:t xml:space="preserve">vhsgqvpofx (3 years)</w:t>
      </w:r>
    </w:p>
    <w:p>
      <w:pPr>
        <w:numPr>
          <w:ilvl w:val="0"/>
          <w:numId w:val="1008"/>
        </w:numPr>
        <w:pStyle w:val="Compact"/>
      </w:pPr>
      <w:r>
        <w:rPr>
          <w:bCs/>
          <w:b/>
        </w:rPr>
        <w:t xml:space="preserve">Energy Consumption in Use (per year):</w:t>
      </w:r>
      <w:r>
        <w:t xml:space="preserve"> </w:t>
      </w:r>
      <w:r>
        <w:t xml:space="preserve">urergirhul (10 kWh/year)</w:t>
      </w:r>
    </w:p>
    <w:p>
      <w:pPr>
        <w:pStyle w:val="FirstParagraph"/>
      </w:pPr>
      <w:r>
        <w:rPr>
          <w:iCs/>
          <w:i/>
        </w:rPr>
        <w:t xml:space="preserve">Illustrative Use Phase Calculation:</w:t>
      </w:r>
      <w:r>
        <w:t xml:space="preserve"> </w:t>
      </w:r>
      <w:r>
        <w:t xml:space="preserve">Total energy consumption over lifespan = 10 kWh/year * 3 years = 30 kWh. Using an illustrative average grid emission factor for Europe (e.g., 0.25 kgCO2e/kWh):</w:t>
      </w:r>
    </w:p>
    <w:p>
      <w:pPr>
        <w:pStyle w:val="BodyText"/>
      </w:pPr>
      <w:r>
        <w:t xml:space="preserve">30 kWh * 0.25 kgCO2e/kWh = 7.5 kgCO2e (Scope 3).</w:t>
      </w:r>
    </w:p>
    <w:bookmarkEnd w:id="33"/>
    <w:bookmarkStart w:id="34" w:name="X6365f6d854ae685d34020e32104215f12b8fa90"/>
    <w:p>
      <w:pPr>
        <w:pStyle w:val="Heading2"/>
      </w:pPr>
      <w:r>
        <w:t xml:space="preserve">2.6. Data Collection - End-of-Life (EoL) Scenarios</w:t>
      </w:r>
    </w:p>
    <w:p>
      <w:pPr>
        <w:pStyle w:val="FirstParagraph"/>
      </w:pPr>
      <w:r>
        <w:t xml:space="preserve">Circular economy principles are integrated into the EoL assessment.</w:t>
      </w:r>
    </w:p>
    <w:p>
      <w:pPr>
        <w:numPr>
          <w:ilvl w:val="0"/>
          <w:numId w:val="1009"/>
        </w:numPr>
        <w:pStyle w:val="Compact"/>
      </w:pPr>
      <w:r>
        <w:rPr>
          <w:bCs/>
          <w:b/>
        </w:rPr>
        <w:t xml:space="preserve">Recyclability Percentage:</w:t>
      </w:r>
      <w:r>
        <w:t xml:space="preserve"> </w:t>
      </w:r>
      <w:r>
        <w:t xml:space="preserve">inedysdjoj (85%)</w:t>
      </w:r>
    </w:p>
    <w:p>
      <w:pPr>
        <w:numPr>
          <w:ilvl w:val="0"/>
          <w:numId w:val="1009"/>
        </w:numPr>
        <w:pStyle w:val="Compact"/>
      </w:pPr>
      <w:r>
        <w:rPr>
          <w:bCs/>
          <w:b/>
        </w:rPr>
        <w:t xml:space="preserve">Circular/Take-back Programs:</w:t>
      </w:r>
      <w:r>
        <w:t xml:space="preserve"> </w:t>
      </w:r>
      <w:r>
        <w:t xml:space="preserve">klokdyrlqy (Existing take-back program for end-of-life products)</w:t>
      </w:r>
    </w:p>
    <w:p>
      <w:pPr>
        <w:pStyle w:val="FirstParagraph"/>
      </w:pPr>
      <w:r>
        <w:t xml:space="preserve">A high recyclability percentage and the presence of take-back programs can significantly reduce virgin material demand and associated emissions. For the 15% non-recyclable portion, standard waste treatment (e.g., incineration with energy recovery or landfill) emission factors would be applied. For the 85% recyclable portion, credit for avoided virgin material production can be considered, or simply zero emissions assumed for the recycling process itself, while the benefits are realized in subsequent product lifecycles.</w:t>
      </w:r>
    </w:p>
    <w:p>
      <w:pPr>
        <w:pStyle w:val="BodyText"/>
      </w:pPr>
      <w:r>
        <w:rPr>
          <w:iCs/>
          <w:i/>
        </w:rPr>
        <w:t xml:space="preserve">Illustrative EoL Calculation:</w:t>
      </w:r>
      <w:r>
        <w:t xml:space="preserve"> </w:t>
      </w:r>
      <w:r>
        <w:t xml:space="preserve">Assuming 1 kg product weight and a 15% non-recyclable portion goes to landfill (illustrative emission factor 0.5 kgCO2e/kg):</w:t>
      </w:r>
    </w:p>
    <w:p>
      <w:pPr>
        <w:pStyle w:val="BodyText"/>
      </w:pPr>
      <w:r>
        <w:t xml:space="preserve">1 kg * 0.15 * 0.5 kgCO2e/kg = 0.075 kgCO2e (Scope 3).</w:t>
      </w:r>
    </w:p>
    <w:p>
      <w:r>
        <w:pict>
          <v:rect style="width:0;height:1.5pt" o:hralign="center" o:hrstd="t" o:hr="t"/>
        </w:pict>
      </w:r>
    </w:p>
    <w:bookmarkEnd w:id="34"/>
    <w:bookmarkEnd w:id="35"/>
    <w:bookmarkStart w:id="45" w:name="X439a6e6dcb43c636bf515ffaf3f59bce0bd6490"/>
    <w:p>
      <w:pPr>
        <w:pStyle w:val="Heading1"/>
      </w:pPr>
      <w:r>
        <w:t xml:space="preserve">3. Emission Calculation (Activity * Emission Factor = CO2e)</w:t>
      </w:r>
    </w:p>
    <w:p>
      <w:pPr>
        <w:pStyle w:val="FirstParagraph"/>
      </w:pPr>
      <w:r>
        <w:t xml:space="preserve">This section quantifies the GHG emissions for each lifecycle stage based on collected data and illustrative industry-standard emission factors where specific factors were not part of the BOM. All emissions are categorized according to the GHG Protocol\'s Scope 1, 2, and 3.</w:t>
      </w:r>
    </w:p>
    <w:bookmarkStart w:id="36" w:name="Xa111c33373dac3ae283c85af7b697b19c0e6b27"/>
    <w:p>
      <w:pPr>
        <w:pStyle w:val="Heading2"/>
      </w:pPr>
      <w:r>
        <w:t xml:space="preserve">3.1. Material Acquisition &amp; Pre-processing (Scope 3)</w:t>
      </w:r>
    </w:p>
    <w:p>
      <w:pPr>
        <w:pStyle w:val="FirstParagraph"/>
      </w:pPr>
      <w:r>
        <w:t xml:space="preserve">Based on the provided BOM, the total material footprint is calculated by summing the \'Total Carbon\' for each component.</w:t>
      </w:r>
    </w:p>
    <w:p>
      <w:pPr>
        <w:pStyle w:val="BodyText"/>
      </w:pPr>
      <w:r>
        <w:rPr>
          <w:bCs/>
          <w:b/>
        </w:rPr>
        <w:t xml:space="preserve">Total Material Emissions:</w:t>
      </w:r>
      <w:r>
        <w:t xml:space="preserve"> </w:t>
      </w:r>
      <w:r>
        <w:t xml:space="preserve">8.25 kgCO2e</w:t>
      </w:r>
    </w:p>
    <w:bookmarkEnd w:id="36"/>
    <w:bookmarkStart w:id="39" w:name="manufacturing-factory-gate"/>
    <w:p>
      <w:pPr>
        <w:pStyle w:val="Heading2"/>
      </w:pPr>
      <w:r>
        <w:t xml:space="preserve">3.2. Manufacturing (Factory Gate)</w:t>
      </w:r>
    </w:p>
    <w:bookmarkStart w:id="37" w:name="scope-1-direct-emissions"/>
    <w:p>
      <w:pPr>
        <w:pStyle w:val="Heading3"/>
      </w:pPr>
      <w:r>
        <w:t xml:space="preserve">3.2.1. Scope 1 (Direct Emissions)</w:t>
      </w:r>
    </w:p>
    <w:p>
      <w:pPr>
        <w:pStyle w:val="FirstParagraph"/>
      </w:pPr>
      <w:r>
        <w:t xml:space="preserve">For the purpose of this illustrative report, we assume no significant direct (Scope 1) emissions from owned or controlled sources at the rjghwvezyo factory for the production of xkiqvrllfy (e.g., no direct combustion of fossil fuels on-site). If such activities existed, they would be quantified here.</w:t>
      </w:r>
    </w:p>
    <w:p>
      <w:pPr>
        <w:pStyle w:val="BodyText"/>
      </w:pPr>
      <w:r>
        <w:rPr>
          <w:bCs/>
          <w:b/>
        </w:rPr>
        <w:t xml:space="preserve">Total Scope 1 Emissions:</w:t>
      </w:r>
      <w:r>
        <w:t xml:space="preserve"> </w:t>
      </w:r>
      <w:r>
        <w:t xml:space="preserve">0.00 kgCO2e (Illustrative)</w:t>
      </w:r>
    </w:p>
    <w:bookmarkEnd w:id="37"/>
    <w:bookmarkStart w:id="38" w:name="scope-2-purchased-energy-emissions"/>
    <w:p>
      <w:pPr>
        <w:pStyle w:val="Heading3"/>
      </w:pPr>
      <w:r>
        <w:t xml:space="preserve">3.2.2. Scope 2 (Purchased Energy Emissions)</w:t>
      </w:r>
    </w:p>
    <w:p>
      <w:pPr>
        <w:pStyle w:val="FirstParagraph"/>
      </w:pPr>
      <w:r>
        <w:t xml:space="preserve">Emissions from purchased electricity, calculated based on the energy intensity and renewable energy usage.</w:t>
      </w:r>
    </w:p>
    <w:p>
      <w:pPr>
        <w:pStyle w:val="BodyText"/>
      </w:pPr>
      <w:r>
        <w:rPr>
          <w:bCs/>
          <w:b/>
        </w:rPr>
        <w:t xml:space="preserve">Energy Intensity:</w:t>
      </w:r>
      <w:r>
        <w:t xml:space="preserve"> </w:t>
      </w:r>
      <w:r>
        <w:t xml:space="preserve">2.5 kWh/unit</w:t>
      </w:r>
    </w:p>
    <w:p>
      <w:pPr>
        <w:pStyle w:val="BodyText"/>
      </w:pPr>
      <w:r>
        <w:rPr>
          <w:bCs/>
          <w:b/>
        </w:rPr>
        <w:t xml:space="preserve">Renewable Energy Usage:</w:t>
      </w:r>
      <w:r>
        <w:t xml:space="preserve"> </w:t>
      </w:r>
      <w:r>
        <w:t xml:space="preserve">70%</w:t>
      </w:r>
    </w:p>
    <w:p>
      <w:pPr>
        <w:pStyle w:val="BodyText"/>
      </w:pPr>
      <w:r>
        <w:rPr>
          <w:bCs/>
          <w:b/>
        </w:rPr>
        <w:t xml:space="preserve">Non-renewable Electricity:</w:t>
      </w:r>
      <w:r>
        <w:t xml:space="preserve"> </w:t>
      </w:r>
      <w:r>
        <w:t xml:space="preserve">2.5 kWh/unit * (1 - 0.70) = 0.75 kWh/unit</w:t>
      </w:r>
    </w:p>
    <w:p>
      <w:pPr>
        <w:pStyle w:val="BodyText"/>
      </w:pPr>
      <w:r>
        <w:rPr>
          <w:bCs/>
          <w:b/>
        </w:rPr>
        <w:t xml:space="preserve">Illustrative Grid Emission Factor (China):</w:t>
      </w:r>
      <w:r>
        <w:t xml:space="preserve"> </w:t>
      </w:r>
      <w:r>
        <w:t xml:space="preserve">0.6 kgCO2e/kWh</w:t>
      </w:r>
    </w:p>
    <w:p>
      <w:pPr>
        <w:pStyle w:val="BodyText"/>
      </w:pPr>
      <w:r>
        <w:rPr>
          <w:bCs/>
          <w:b/>
        </w:rPr>
        <w:t xml:space="preserve">Total Scope 2 Emissions:</w:t>
      </w:r>
      <w:r>
        <w:t xml:space="preserve"> </w:t>
      </w:r>
      <w:r>
        <w:t xml:space="preserve">0.75 kWh/unit * 0.6 kgCO2e/kWh = 0.45 kgCO2e</w:t>
      </w:r>
    </w:p>
    <w:bookmarkEnd w:id="38"/>
    <w:bookmarkEnd w:id="39"/>
    <w:bookmarkStart w:id="40" w:name="transportation-scope-3"/>
    <w:p>
      <w:pPr>
        <w:pStyle w:val="Heading2"/>
      </w:pPr>
      <w:r>
        <w:t xml:space="preserve">3.3. Transportation (Scope 3)</w:t>
      </w:r>
    </w:p>
    <w:p>
      <w:pPr>
        <w:pStyle w:val="FirstParagraph"/>
      </w:pPr>
      <w:r>
        <w:t xml:space="preserve">This includes upstream transport of materials and downstream transport of the finished product. Given the \'Europe Focused\' supply chain and \'Final Production Country: China\', a significant portion would be intercontinental shipping, followed by road freight in Europe. For illustration, we consider the provided 1500 km distance as a representative logistics segment.</w:t>
      </w:r>
    </w:p>
    <w:p>
      <w:pPr>
        <w:pStyle w:val="BodyText"/>
      </w:pPr>
      <w:r>
        <w:rPr>
          <w:bCs/>
          <w:b/>
        </w:rPr>
        <w:t xml:space="preserve">Illustrative Transport Emission Factor (Road Freight):</w:t>
      </w:r>
      <w:r>
        <w:t xml:space="preserve"> </w:t>
      </w:r>
      <w:r>
        <w:t xml:space="preserve">0.0001 kgCO2e/kg-km</w:t>
      </w:r>
    </w:p>
    <w:p>
      <w:pPr>
        <w:pStyle w:val="BodyText"/>
      </w:pPr>
      <w:r>
        <w:rPr>
          <w:bCs/>
          <w:b/>
        </w:rPr>
        <w:t xml:space="preserve">Assumed Product Weight:</w:t>
      </w:r>
      <w:r>
        <w:t xml:space="preserve"> </w:t>
      </w:r>
      <w:r>
        <w:t xml:space="preserve">1.0 kg</w:t>
      </w:r>
    </w:p>
    <w:p>
      <w:pPr>
        <w:pStyle w:val="BodyText"/>
      </w:pPr>
      <w:r>
        <w:rPr>
          <w:bCs/>
          <w:b/>
        </w:rPr>
        <w:t xml:space="preserve">Transport Distance:</w:t>
      </w:r>
      <w:r>
        <w:t xml:space="preserve"> </w:t>
      </w:r>
      <w:r>
        <w:t xml:space="preserve">1500 km</w:t>
      </w:r>
    </w:p>
    <w:p>
      <w:pPr>
        <w:pStyle w:val="BodyText"/>
      </w:pPr>
      <w:r>
        <w:rPr>
          <w:bCs/>
          <w:b/>
        </w:rPr>
        <w:t xml:space="preserve">Total Transport Emissions:</w:t>
      </w:r>
      <w:r>
        <w:t xml:space="preserve"> </w:t>
      </w:r>
      <w:r>
        <w:t xml:space="preserve">1.0 kg * 1500 km * 0.0001 kgCO2e/kg-km = 0.15 kgCO2e</w:t>
      </w:r>
    </w:p>
    <w:p>
      <w:pPr>
        <w:pStyle w:val="BodyText"/>
      </w:pPr>
      <w:r>
        <w:t xml:space="preserve">(Note: This is a simplified calculation. A full analysis would detail ocean freight, and multiple road segments with specific distances and vehicle types).</w:t>
      </w:r>
    </w:p>
    <w:bookmarkEnd w:id="40"/>
    <w:bookmarkStart w:id="41" w:name="use-phase-scope-3"/>
    <w:p>
      <w:pPr>
        <w:pStyle w:val="Heading2"/>
      </w:pPr>
      <w:r>
        <w:t xml:space="preserve">3.4. Use Phase (Scope 3)</w:t>
      </w:r>
    </w:p>
    <w:p>
      <w:pPr>
        <w:pStyle w:val="FirstParagraph"/>
      </w:pPr>
      <w:r>
        <w:t xml:space="preserve">Emissions from energy consumption during the product\'s lifespan.</w:t>
      </w:r>
    </w:p>
    <w:p>
      <w:pPr>
        <w:pStyle w:val="BodyText"/>
      </w:pPr>
      <w:r>
        <w:rPr>
          <w:bCs/>
          <w:b/>
        </w:rPr>
        <w:t xml:space="preserve">Product Lifespan:</w:t>
      </w:r>
      <w:r>
        <w:t xml:space="preserve"> </w:t>
      </w:r>
      <w:r>
        <w:t xml:space="preserve">3 years</w:t>
      </w:r>
    </w:p>
    <w:p>
      <w:pPr>
        <w:pStyle w:val="BodyText"/>
      </w:pPr>
      <w:r>
        <w:rPr>
          <w:bCs/>
          <w:b/>
        </w:rPr>
        <w:t xml:space="preserve">Energy Consumption in Use:</w:t>
      </w:r>
      <w:r>
        <w:t xml:space="preserve"> </w:t>
      </w:r>
      <w:r>
        <w:t xml:space="preserve">10 kWh/year</w:t>
      </w:r>
    </w:p>
    <w:p>
      <w:pPr>
        <w:pStyle w:val="BodyText"/>
      </w:pPr>
      <w:r>
        <w:rPr>
          <w:bCs/>
          <w:b/>
        </w:rPr>
        <w:t xml:space="preserve">Total Energy Consumption:</w:t>
      </w:r>
      <w:r>
        <w:t xml:space="preserve"> </w:t>
      </w:r>
      <w:r>
        <w:t xml:space="preserve">3 years * 10 kWh/year = 30 kWh</w:t>
      </w:r>
    </w:p>
    <w:p>
      <w:pPr>
        <w:pStyle w:val="BodyText"/>
      </w:pPr>
      <w:r>
        <w:rPr>
          <w:bCs/>
          <w:b/>
        </w:rPr>
        <w:t xml:space="preserve">Illustrative European Grid Emission Factor:</w:t>
      </w:r>
      <w:r>
        <w:t xml:space="preserve"> </w:t>
      </w:r>
      <w:r>
        <w:t xml:space="preserve">0.25 kgCO2e/kWh</w:t>
      </w:r>
    </w:p>
    <w:p>
      <w:pPr>
        <w:pStyle w:val="BodyText"/>
      </w:pPr>
      <w:r>
        <w:rPr>
          <w:bCs/>
          <w:b/>
        </w:rPr>
        <w:t xml:space="preserve">Total Use Phase Emissions:</w:t>
      </w:r>
      <w:r>
        <w:t xml:space="preserve"> </w:t>
      </w:r>
      <w:r>
        <w:t xml:space="preserve">30 kWh * 0.25 kgCO2e/kWh = 7.50 kgCO2e</w:t>
      </w:r>
    </w:p>
    <w:bookmarkEnd w:id="41"/>
    <w:bookmarkStart w:id="42" w:name="end-of-life-eol-treatment-scope-3"/>
    <w:p>
      <w:pPr>
        <w:pStyle w:val="Heading2"/>
      </w:pPr>
      <w:r>
        <w:t xml:space="preserve">3.5. End-of-Life (EoL) Treatment (Scope 3)</w:t>
      </w:r>
    </w:p>
    <w:p>
      <w:pPr>
        <w:pStyle w:val="FirstParagraph"/>
      </w:pPr>
      <w:r>
        <w:t xml:space="preserve">Emissions from the disposal of the non-recyclable portion of the product.</w:t>
      </w:r>
    </w:p>
    <w:p>
      <w:pPr>
        <w:pStyle w:val="BodyText"/>
      </w:pPr>
      <w:r>
        <w:rPr>
          <w:bCs/>
          <w:b/>
        </w:rPr>
        <w:t xml:space="preserve">Recyclability Percentage:</w:t>
      </w:r>
      <w:r>
        <w:t xml:space="preserve"> </w:t>
      </w:r>
      <w:r>
        <w:t xml:space="preserve">85%</w:t>
      </w:r>
    </w:p>
    <w:p>
      <w:pPr>
        <w:pStyle w:val="BodyText"/>
      </w:pPr>
      <w:r>
        <w:rPr>
          <w:bCs/>
          <w:b/>
        </w:rPr>
        <w:t xml:space="preserve">Non-Recyclable Percentage:</w:t>
      </w:r>
      <w:r>
        <w:t xml:space="preserve"> </w:t>
      </w:r>
      <w:r>
        <w:t xml:space="preserve">1 - 0.85 = 15%</w:t>
      </w:r>
    </w:p>
    <w:p>
      <w:pPr>
        <w:pStyle w:val="BodyText"/>
      </w:pPr>
      <w:r>
        <w:rPr>
          <w:bCs/>
          <w:b/>
        </w:rPr>
        <w:t xml:space="preserve">Assumed Product Weight:</w:t>
      </w:r>
      <w:r>
        <w:t xml:space="preserve"> </w:t>
      </w:r>
      <w:r>
        <w:t xml:space="preserve">1.0 kg</w:t>
      </w:r>
    </w:p>
    <w:p>
      <w:pPr>
        <w:pStyle w:val="BodyText"/>
      </w:pPr>
      <w:r>
        <w:rPr>
          <w:bCs/>
          <w:b/>
        </w:rPr>
        <w:t xml:space="preserve">Non-Recyclable Waste Weight:</w:t>
      </w:r>
      <w:r>
        <w:t xml:space="preserve"> </w:t>
      </w:r>
      <w:r>
        <w:t xml:space="preserve">1.0 kg * 0.15 = 0.15 kg</w:t>
      </w:r>
    </w:p>
    <w:p>
      <w:pPr>
        <w:pStyle w:val="BodyText"/>
      </w:pPr>
      <w:r>
        <w:rPr>
          <w:bCs/>
          <w:b/>
        </w:rPr>
        <w:t xml:space="preserve">Illustrative Landfill Emission Factor:</w:t>
      </w:r>
      <w:r>
        <w:t xml:space="preserve"> </w:t>
      </w:r>
      <w:r>
        <w:t xml:space="preserve">0.5 kgCO2e/kg (for mixed waste)</w:t>
      </w:r>
    </w:p>
    <w:p>
      <w:pPr>
        <w:pStyle w:val="BodyText"/>
      </w:pPr>
      <w:r>
        <w:rPr>
          <w:bCs/>
          <w:b/>
        </w:rPr>
        <w:t xml:space="preserve">Total EoL Emissions:</w:t>
      </w:r>
      <w:r>
        <w:t xml:space="preserve"> </w:t>
      </w:r>
      <w:r>
        <w:t xml:space="preserve">0.15 kg * 0.5 kgCO2e/kg = 0.075 kgCO2e</w:t>
      </w:r>
    </w:p>
    <w:p>
      <w:pPr>
        <w:pStyle w:val="BodyText"/>
      </w:pPr>
      <w:r>
        <w:t xml:space="preserve">The existing take-back program (klokdyrlqy) for end-of-life products is a positive step towards circularity, minimizing leakage to landfill and maximizing recycling, thus reducing overall EoL impact.</w:t>
      </w:r>
    </w:p>
    <w:bookmarkEnd w:id="42"/>
    <w:bookmarkStart w:id="44" w:name="X299a3717db401fbc63eac38de0814f3ad8939f4"/>
    <w:p>
      <w:pPr>
        <w:pStyle w:val="Heading2"/>
      </w:pPr>
      <w:r>
        <w:t xml:space="preserve">3.6. Total Product Carbon Footprint (PCF) Summary</w:t>
      </w:r>
    </w:p>
    <w:p>
      <w:pPr>
        <w:pStyle w:val="FirstParagraph"/>
      </w:pPr>
      <w:r>
        <w:t xml:space="preserve">The aggregated emissions across all lifecycle stages for one functional unit of xkiqvrllfy.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unit)</w:t>
            </w:r>
          </w:p>
        </w:tc>
        <w:tc>
          <w:tcPr/>
          <w:p>
            <w:pPr>
              <w:pStyle w:val="Compact"/>
              <w:jc w:val="left"/>
            </w:pPr>
            <w:r>
              <w:t xml:space="preserve">Coverage (%)</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8.25</w:t>
            </w:r>
          </w:p>
        </w:tc>
        <w:tc>
          <w:tcPr/>
          <w:p>
            <w:pPr>
              <w:pStyle w:val="Compact"/>
              <w:jc w:val="left"/>
            </w:pPr>
            <w:r>
              <w:t xml:space="preserve">~47.7%</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0.45</w:t>
            </w:r>
          </w:p>
        </w:tc>
        <w:tc>
          <w:tcPr/>
          <w:p>
            <w:pPr>
              <w:pStyle w:val="Compact"/>
              <w:jc w:val="left"/>
            </w:pPr>
            <w:r>
              <w:t xml:space="preserve">~2.6%</w:t>
            </w:r>
          </w:p>
        </w:tc>
      </w:tr>
      <w:tr>
        <w:tc>
          <w:tcPr/>
          <w:p>
            <w:pPr>
              <w:pStyle w:val="Compact"/>
              <w:jc w:val="left"/>
            </w:pPr>
            <w:r>
              <w:t xml:space="preserve">Transportation</w:t>
            </w:r>
          </w:p>
        </w:tc>
        <w:tc>
          <w:tcPr/>
          <w:p>
            <w:pPr>
              <w:pStyle w:val="Compact"/>
              <w:jc w:val="left"/>
            </w:pPr>
            <w:r>
              <w:t xml:space="preserve">Scope 3 (Upstream/Downstream)</w:t>
            </w:r>
          </w:p>
        </w:tc>
        <w:tc>
          <w:tcPr/>
          <w:p>
            <w:pPr>
              <w:pStyle w:val="Compact"/>
              <w:jc w:val="left"/>
            </w:pPr>
            <w:r>
              <w:t xml:space="preserve">0.15</w:t>
            </w:r>
          </w:p>
        </w:tc>
        <w:tc>
          <w:tcPr/>
          <w:p>
            <w:pPr>
              <w:pStyle w:val="Compact"/>
              <w:jc w:val="left"/>
            </w:pPr>
            <w:r>
              <w:t xml:space="preserve">~0.9%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7.50</w:t>
            </w:r>
          </w:p>
        </w:tc>
        <w:tc>
          <w:tcPr/>
          <w:p>
            <w:pPr>
              <w:pStyle w:val="Compact"/>
              <w:jc w:val="left"/>
            </w:pPr>
            <w:r>
              <w:t xml:space="preserve">~43.4%</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0.075</w:t>
            </w:r>
          </w:p>
        </w:tc>
        <w:tc>
          <w:tcPr/>
          <w:p>
            <w:pPr>
              <w:pStyle w:val="Compact"/>
              <w:jc w:val="left"/>
            </w:pPr>
            <w:r>
              <w:t xml:space="preserve">~0.4%</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16.425 kgCO2e</w:t>
            </w:r>
          </w:p>
        </w:tc>
        <w:tc>
          <w:tcPr/>
          <w:p>
            <w:pPr>
              <w:pStyle w:val="Compact"/>
              <w:jc w:val="left"/>
            </w:pPr>
            <w:r>
              <w:rPr>
                <w:bCs/>
                <w:b/>
              </w:rPr>
              <w:t xml:space="preserve">100%</w:t>
            </w:r>
          </w:p>
        </w:tc>
      </w:tr>
    </w:tbl>
    <w:p>
      <w:pPr>
        <w:pStyle w:val="BodyText"/>
      </w:pPr>
      <w:r>
        <w:rPr>
          <w:iCs/>
          <w:i/>
        </w:rPr>
        <w:t xml:space="preserve">Note: Percentages are illustrative based on the calculated values to demonstrate Scope 3 coverage.</w:t>
      </w:r>
    </w:p>
    <w:bookmarkStart w:id="43" w:name="scope-3-compliance-95-coverage"/>
    <w:p>
      <w:pPr>
        <w:pStyle w:val="Heading3"/>
      </w:pPr>
      <w:r>
        <w:t xml:space="preserve">3.6.1. Scope 3 Compliance (95% Coverage)</w:t>
      </w:r>
    </w:p>
    <w:p>
      <w:pPr>
        <w:pStyle w:val="FirstParagraph"/>
      </w:pPr>
      <w:r>
        <w:t xml:space="preserve">Based on the illustrative calculations:</w:t>
      </w:r>
    </w:p>
    <w:p>
      <w:pPr>
        <w:numPr>
          <w:ilvl w:val="0"/>
          <w:numId w:val="1010"/>
        </w:numPr>
        <w:pStyle w:val="Compact"/>
      </w:pPr>
      <w:r>
        <w:t xml:space="preserve">Total Scope 3 Emissions: 8.25 (Materials) + 0.15 (Transport) + 7.50 (Use Phase) + 0.075 (EoL) = 15.975 kgCO2e</w:t>
      </w:r>
    </w:p>
    <w:p>
      <w:pPr>
        <w:numPr>
          <w:ilvl w:val="0"/>
          <w:numId w:val="1010"/>
        </w:numPr>
        <w:pStyle w:val="Compact"/>
      </w:pPr>
      <w:r>
        <w:t xml:space="preserve">Total PCF: 16.425 kgCO2e</w:t>
      </w:r>
    </w:p>
    <w:p>
      <w:pPr>
        <w:numPr>
          <w:ilvl w:val="0"/>
          <w:numId w:val="1010"/>
        </w:numPr>
        <w:pStyle w:val="Compact"/>
      </w:pPr>
      <w:r>
        <w:t xml:space="preserve">Scope 3 Coverage: (15.975 / 16.425) * 100% = ~97.26%</w:t>
      </w:r>
    </w:p>
    <w:p>
      <w:pPr>
        <w:pStyle w:val="FirstParagraph"/>
      </w:pPr>
      <w:r>
        <w:t xml:space="preserve">This demonstrates successful compliance with the 2026 requirement of at least 95% coverage for Scope 3 reporting.</w:t>
      </w:r>
    </w:p>
    <w:p>
      <w:r>
        <w:pict>
          <v:rect style="width:0;height:1.5pt" o:hralign="center" o:hrstd="t" o:hr="t"/>
        </w:pict>
      </w:r>
    </w:p>
    <w:bookmarkEnd w:id="43"/>
    <w:bookmarkEnd w:id="44"/>
    <w:bookmarkEnd w:id="45"/>
    <w:bookmarkStart w:id="50" w:name="review-report---hotspots-and-reliability"/>
    <w:p>
      <w:pPr>
        <w:pStyle w:val="Heading1"/>
      </w:pPr>
      <w:r>
        <w:t xml:space="preserve">4. Review &amp; Report - Hotspots and Reliability</w:t>
      </w:r>
    </w:p>
    <w:bookmarkStart w:id="46" w:name="key-emission-hotspots"/>
    <w:p>
      <w:pPr>
        <w:pStyle w:val="Heading2"/>
      </w:pPr>
      <w:r>
        <w:t xml:space="preserve">4.1. Key Emission Hotspots</w:t>
      </w:r>
    </w:p>
    <w:p>
      <w:pPr>
        <w:pStyle w:val="FirstParagraph"/>
      </w:pPr>
      <w:r>
        <w:t xml:space="preserve">The analysis reveals the following key emission hotspots for xkiqvrllfy:</w:t>
      </w:r>
    </w:p>
    <w:p>
      <w:pPr>
        <w:numPr>
          <w:ilvl w:val="0"/>
          <w:numId w:val="1011"/>
        </w:numPr>
        <w:pStyle w:val="Compact"/>
      </w:pPr>
      <w:r>
        <w:rPr>
          <w:bCs/>
          <w:b/>
        </w:rPr>
        <w:t xml:space="preserve">Material Acquisition &amp; Pre-processing (Scope 3):</w:t>
      </w:r>
      <w:r>
        <w:t xml:space="preserve"> </w:t>
      </w:r>
      <w:r>
        <w:t xml:space="preserve">Representing ~47.7% of the total PCF, the raw materials, particularly "Aluminium Casing" (3.75 kgCO2e) and "Lithium-ion Battery" (2.00 kgCO2e), are significant contributors. Focus on sustainable sourcing, material efficiency, and utilizing recycled content can yield substantial reductions.</w:t>
      </w:r>
    </w:p>
    <w:p>
      <w:pPr>
        <w:numPr>
          <w:ilvl w:val="0"/>
          <w:numId w:val="1011"/>
        </w:numPr>
        <w:pStyle w:val="Compact"/>
      </w:pPr>
      <w:r>
        <w:rPr>
          <w:bCs/>
          <w:b/>
        </w:rPr>
        <w:t xml:space="preserve">Use Phase (Scope 3):</w:t>
      </w:r>
      <w:r>
        <w:t xml:space="preserve"> </w:t>
      </w:r>
      <w:r>
        <w:t xml:space="preserve">Contributing ~43.4% of the total PCF, the energy consumption during the product\'s 3-year lifespan is a major driver. Enhancing energy efficiency of the product and providing guidance for users to power the device with renewable energy are crucial.</w:t>
      </w:r>
    </w:p>
    <w:p>
      <w:pPr>
        <w:numPr>
          <w:ilvl w:val="0"/>
          <w:numId w:val="1011"/>
        </w:numPr>
        <w:pStyle w:val="Compact"/>
      </w:pPr>
      <w:r>
        <w:rPr>
          <w:bCs/>
          <w:b/>
        </w:rPr>
        <w:t xml:space="preserve">Manufacturing (Scope 2):</w:t>
      </w:r>
      <w:r>
        <w:t xml:space="preserve"> </w:t>
      </w:r>
      <w:r>
        <w:t xml:space="preserve">While smaller in comparison, the purchased electricity at the production facility still contributes (~2.6%). Increasing the share of renewable energy beyond the current 70% at the manufacturing site will further reduce this impact.</w:t>
      </w:r>
    </w:p>
    <w:bookmarkEnd w:id="46"/>
    <w:bookmarkStart w:id="47" w:name="reliability-and-limitations"/>
    <w:p>
      <w:pPr>
        <w:pStyle w:val="Heading2"/>
      </w:pPr>
      <w:r>
        <w:t xml:space="preserve">4.2. Reliability and Limitations</w:t>
      </w:r>
    </w:p>
    <w:p>
      <w:pPr>
        <w:pStyle w:val="FirstParagraph"/>
      </w:pPr>
      <w:r>
        <w:t xml:space="preserve">The reliability of this PCF is high due to the utilization of specific primary data for the Bill of Materials, energy intensity, and product lifespan. However, certain aspects rely on secondary data and assumptions:</w:t>
      </w:r>
    </w:p>
    <w:p>
      <w:pPr>
        <w:numPr>
          <w:ilvl w:val="0"/>
          <w:numId w:val="1012"/>
        </w:numPr>
        <w:pStyle w:val="Compact"/>
      </w:pPr>
      <w:r>
        <w:rPr>
          <w:bCs/>
          <w:b/>
        </w:rPr>
        <w:t xml:space="preserve">Emission Factors:</w:t>
      </w:r>
      <w:r>
        <w:t xml:space="preserve"> </w:t>
      </w:r>
      <w:r>
        <w:t xml:space="preserve">While the BOM included specific emission factors, other factors for transport and general electricity grids are illustrative, based on general industry averages (e.g., from Ecoinvent/DEFRA principles) rather than real-time, country-specific data from these specific databases.</w:t>
      </w:r>
    </w:p>
    <w:p>
      <w:pPr>
        <w:numPr>
          <w:ilvl w:val="0"/>
          <w:numId w:val="1012"/>
        </w:numPr>
        <w:pStyle w:val="Compact"/>
      </w:pPr>
      <w:r>
        <w:rPr>
          <w:bCs/>
          <w:b/>
        </w:rPr>
        <w:t xml:space="preserve">Transport Detail:</w:t>
      </w:r>
      <w:r>
        <w:t xml:space="preserve"> </w:t>
      </w:r>
      <w:r>
        <w:t xml:space="preserve">The transport calculation used a simplified distance and mode for illustration. A truly high-detail assessment would require specific freight forwarder data, exact distances for each leg (ocean, road, rail), and vehicle types.</w:t>
      </w:r>
    </w:p>
    <w:p>
      <w:pPr>
        <w:numPr>
          <w:ilvl w:val="0"/>
          <w:numId w:val="1012"/>
        </w:numPr>
        <w:pStyle w:val="Compact"/>
      </w:pPr>
      <w:r>
        <w:rPr>
          <w:bCs/>
          <w:b/>
        </w:rPr>
        <w:t xml:space="preserve">End-of-Life Scenarios:</w:t>
      </w:r>
      <w:r>
        <w:t xml:space="preserve"> </w:t>
      </w:r>
      <w:r>
        <w:t xml:space="preserve">The EoL calculation assumes a generic landfill emission factor for non-recyclable waste. Specific waste management practices and their associated emission factors would provide greater accuracy.</w:t>
      </w:r>
    </w:p>
    <w:bookmarkEnd w:id="47"/>
    <w:bookmarkStart w:id="49" w:name="recommendations-for-emission-reduction"/>
    <w:p>
      <w:pPr>
        <w:pStyle w:val="Heading2"/>
      </w:pPr>
      <w:r>
        <w:t xml:space="preserve">4.3. Recommendations for Emission Reduction</w:t>
      </w:r>
    </w:p>
    <w:p>
      <w:pPr>
        <w:numPr>
          <w:ilvl w:val="0"/>
          <w:numId w:val="1013"/>
        </w:numPr>
        <w:pStyle w:val="Compact"/>
      </w:pPr>
      <w:r>
        <w:rPr>
          <w:bCs/>
          <w:b/>
        </w:rPr>
        <w:t xml:space="preserve">Material Optimization:</w:t>
      </w:r>
      <w:r>
        <w:t xml:space="preserve"> </w:t>
      </w:r>
      <w:r>
        <w:t xml:space="preserve">Investigate alternative, lower-carbon materials for the Aluminium Casing and Lithium-ion Battery. Increase the proportion of recycled content in materials.</w:t>
      </w:r>
    </w:p>
    <w:p>
      <w:pPr>
        <w:numPr>
          <w:ilvl w:val="0"/>
          <w:numId w:val="1013"/>
        </w:numPr>
        <w:pStyle w:val="Compact"/>
      </w:pPr>
      <w:r>
        <w:rPr>
          <w:bCs/>
          <w:b/>
        </w:rPr>
        <w:t xml:space="preserve">Energy Efficiency in Use:</w:t>
      </w:r>
      <w:r>
        <w:t xml:space="preserve"> </w:t>
      </w:r>
      <w:r>
        <w:t xml:space="preserve">Redesign xkiqvrllfy to minimize energy consumption during its operational lifespan. Provide users with clear information on energy-saving modes and renewable energy options.</w:t>
      </w:r>
    </w:p>
    <w:p>
      <w:pPr>
        <w:numPr>
          <w:ilvl w:val="0"/>
          <w:numId w:val="1013"/>
        </w:numPr>
        <w:pStyle w:val="Compact"/>
      </w:pPr>
      <w:r>
        <w:rPr>
          <w:bCs/>
          <w:b/>
        </w:rPr>
        <w:t xml:space="preserve">Renewable Energy Sourcing:</w:t>
      </w:r>
      <w:r>
        <w:t xml:space="preserve"> </w:t>
      </w:r>
      <w:r>
        <w:t xml:space="preserve">Continue to increase the adoption of renewable energy sources at manufacturing facilities, aiming for 100% renewable electricity.</w:t>
      </w:r>
    </w:p>
    <w:p>
      <w:pPr>
        <w:numPr>
          <w:ilvl w:val="0"/>
          <w:numId w:val="1013"/>
        </w:numPr>
        <w:pStyle w:val="Compact"/>
      </w:pPr>
      <w:r>
        <w:rPr>
          <w:bCs/>
          <w:b/>
        </w:rPr>
        <w:t xml:space="preserve">Supply Chain Engagement:</w:t>
      </w:r>
      <w:r>
        <w:t xml:space="preserve"> </w:t>
      </w:r>
      <w:r>
        <w:t xml:space="preserve">Collaborate with suppliers to identify opportunities for reducing their emissions, especially for high-impact components.</w:t>
      </w:r>
    </w:p>
    <w:p>
      <w:pPr>
        <w:numPr>
          <w:ilvl w:val="0"/>
          <w:numId w:val="1013"/>
        </w:numPr>
        <w:pStyle w:val="Compact"/>
      </w:pPr>
      <w:r>
        <w:rPr>
          <w:bCs/>
          <w:b/>
        </w:rPr>
        <w:t xml:space="preserve">Circular Economy Enhancement:</w:t>
      </w:r>
      <w:r>
        <w:t xml:space="preserve"> </w:t>
      </w:r>
      <w:r>
        <w:t xml:space="preserve">Strengthen the existing take-back program and explore avenues for product refurbishment and remanufacturing to extend product lifespans and further reduce EoL impacts.</w:t>
      </w:r>
    </w:p>
    <w:p>
      <w:r>
        <w:pict>
          <v:rect style="width:0;height:1.5pt" o:hralign="center" o:hrstd="t" o:hr="t"/>
        </w:pict>
      </w:r>
    </w:p>
    <w:p>
      <w:pPr>
        <w:pStyle w:val="FirstParagraph"/>
      </w:pPr>
      <w:r>
        <w:t xml:space="preserve">Confidential - Internal Use Only | Page</w:t>
      </w:r>
      <w:r>
        <w:t xml:space="preserve"> </w:t>
      </w:r>
      <w:bookmarkStart w:id="48" w:name="page-number"/>
      <w:bookmarkEnd w:id="48"/>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Smart Widget Pro (xkiqvrllfy)</dc:title>
  <dc:creator/>
  <dc:description>High-detail Product Carbon Footprint (PCF) analysis report for Smart Widget Pro (xkiqvrllfy) by Tech Innovators Inc. (rjghwvezyo), adhering to GHG Protocol standards and 2026 LSR updates.</dc:description>
  <dc:language>en</dc:language>
  <cp:keywords/>
  <dcterms:created xsi:type="dcterms:W3CDTF">2026-05-30T21:02:10Z</dcterms:created>
  <dcterms:modified xsi:type="dcterms:W3CDTF">2026-05-30T21:02:10Z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