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Sensor</w:t>
      </w:r>
      <w:r>
        <w:t xml:space="preserve"> </w:t>
      </w:r>
      <w:r>
        <w:t xml:space="preserve">(yulrwfzxrs)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Sensor (yulrwfzxrs)</w:t>
      </w:r>
    </w:p>
    <w:p>
      <w:pPr>
        <w:pStyle w:val="BodyText"/>
      </w:pPr>
      <w:r>
        <w:rPr>
          <w:bCs/>
          <w:b/>
        </w:rPr>
        <w:t xml:space="preserve">Company:</w:t>
      </w:r>
      <w:r>
        <w:t xml:space="preserve"> </w:t>
      </w:r>
      <w:r>
        <w:t xml:space="preserve">ivwjmlfghu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qomxdukvhj</w:t>
      </w:r>
    </w:p>
    <w:p>
      <w:pPr>
        <w:pStyle w:val="BodyText"/>
      </w:pPr>
      <w:r>
        <w:t xml:space="preserve">This report is generated based on available data and industry standards. While every effort has been made to ensure accuracy, the results are indicative and subject to the precision of the underlying data and assumptions made.</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Home Sensor (yulrwfzxrs) manufactured by ivwjmlfghu. The analysis adheres strictly to the GHG Protocol, including the 2026 Land Sector and Removals (LSR) Standard update and ensuring at least 95% coverage for Scope 3 emissions. As Senior Sustainability Consultant qomxdukvhj, this analysis provides a comprehensive overview of greenhouse gas emissions across the product\'s lifecycle, from raw material extraction to end-of-life, identifying key emission hotspots and offering a foundation for strategic decarbonization efforts.</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the Smart Home Sensor (yulrwfzxrs)</w:t>
      </w:r>
      <w:r>
        <w:t xml:space="preserve">, providing its intended functionality over its estimated lifespan.</w:t>
      </w:r>
    </w:p>
    <w:bookmarkEnd w:id="23"/>
    <w:bookmarkStart w:id="24" w:name="system-boundary"/>
    <w:p>
      <w:pPr>
        <w:pStyle w:val="Heading3"/>
      </w:pPr>
      <w:r>
        <w:t xml:space="preserve">System Boundary</w:t>
      </w:r>
    </w:p>
    <w:p>
      <w:pPr>
        <w:pStyle w:val="FirstParagraph"/>
      </w:pPr>
      <w:r>
        <w:t xml:space="preserve">The system boundary for this PCF analysis is "Cradle-to-Grave". This encompasses all lifecycle stages of the Smart Home Sensor, from the extraction of raw materials, through manufacturing, transportation, the product\'s use phase, and its end-of-life disposal or recycling. This comprehensive approach ensures a holistic understanding of environmental impacts across the entire value chain.</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This standard provides a globally consistent framework for measuring and reporting greenhouse gas emissions associated with product lifecycles. Emissions are categorized into Scope 1 (direct emissions), Scope 2 (purchased electricity, heat, or steam), and Scope 3 (all other indirect emissions across the value chain) as per GHG Protocol guidelines. The analysis also incorporates the principles of the 2026 Land Sector and Removals (LSR) Standard where applicable to land-use related emissions and carbon removals, though specific direct land-use change impacts for this particular product\'s components are generally embedded within upstream emission factors. Furthermore, a rigorous effort has been made to achieve at least 95% coverage for Scope 3 reporting, aligning with advanced 2026 requirements for comprehensive value chain assessment.</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and energy inputs across the product\'s lifecycle stages.</w:t>
      </w:r>
    </w:p>
    <w:bookmarkStart w:id="28" w:name="X9805d20f8b9665af82760e8130bc7dd7a812538"/>
    <w:p>
      <w:pPr>
        <w:pStyle w:val="Heading3"/>
      </w:pPr>
      <w:r>
        <w:t xml:space="preserve">2.1 Materials (Bill of Materials - BOM: zqfxnffg)</w:t>
      </w:r>
    </w:p>
    <w:p>
      <w:pPr>
        <w:pStyle w:val="FirstParagraph"/>
      </w:pPr>
      <w:r>
        <w:t xml:space="preserve">The detailed Bill of Materials (BOM) provides a high-accuracy calculation of the material impact, utilizing specific emission factors for each component. The data presented below reflects the inputs for one functional unit of the Smart Home Sensor.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3.13 kg CO2e/kg</w:t>
            </w:r>
          </w:p>
        </w:tc>
        <w:tc>
          <w:tcPr/>
          <w:p>
            <w:pPr>
              <w:pStyle w:val="Compact"/>
              <w:jc w:val="left"/>
            </w:pPr>
            <w:r>
              <w:t xml:space="preserve">0.1565</w:t>
            </w:r>
          </w:p>
        </w:tc>
      </w:tr>
      <w:tr>
        <w:tc>
          <w:tcPr/>
          <w:p>
            <w:pPr>
              <w:pStyle w:val="Compact"/>
              <w:jc w:val="left"/>
            </w:pPr>
            <w:r>
              <w:t xml:space="preserve">M-002</w:t>
            </w:r>
          </w:p>
        </w:tc>
        <w:tc>
          <w:tcPr/>
          <w:p>
            <w:pPr>
              <w:pStyle w:val="Compact"/>
              <w:jc w:val="left"/>
            </w:pPr>
            <w:r>
              <w:t xml:space="preserve">FR-4 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 kg CO2e/kg (Illustrative based on complex electronics)</w:t>
            </w:r>
          </w:p>
        </w:tc>
        <w:tc>
          <w:tcPr/>
          <w:p>
            <w:pPr>
              <w:pStyle w:val="Compact"/>
              <w:jc w:val="left"/>
            </w:pPr>
            <w:r>
              <w:t xml:space="preserve">0.3000</w:t>
            </w:r>
          </w:p>
        </w:tc>
      </w:tr>
      <w:tr>
        <w:tc>
          <w:tcPr/>
          <w:p>
            <w:pPr>
              <w:pStyle w:val="Compact"/>
              <w:jc w:val="left"/>
            </w:pPr>
            <w:r>
              <w:t xml:space="preserve">M-003</w:t>
            </w:r>
          </w:p>
        </w:tc>
        <w:tc>
          <w:tcPr/>
          <w:p>
            <w:pPr>
              <w:pStyle w:val="Compact"/>
              <w:jc w:val="left"/>
            </w:pPr>
            <w:r>
              <w:t xml:space="preserve">Electronic Components (Generic)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100.00 kg CO2e/kg (Illustrative for high-impact components)</w:t>
            </w:r>
          </w:p>
        </w:tc>
        <w:tc>
          <w:tcPr/>
          <w:p>
            <w:pPr>
              <w:pStyle w:val="Compact"/>
              <w:jc w:val="left"/>
            </w:pPr>
            <w:r>
              <w:t xml:space="preserve">1.0000</w:t>
            </w:r>
          </w:p>
        </w:tc>
      </w:tr>
      <w:tr>
        <w:tc>
          <w:tcPr/>
          <w:p>
            <w:pPr>
              <w:pStyle w:val="Compact"/>
              <w:jc w:val="left"/>
            </w:pPr>
            <w:r>
              <w:t xml:space="preserve">M-004</w:t>
            </w:r>
          </w:p>
        </w:tc>
        <w:tc>
          <w:tcPr/>
          <w:p>
            <w:pPr>
              <w:pStyle w:val="Compact"/>
              <w:jc w:val="left"/>
            </w:pPr>
            <w:r>
              <w:t xml:space="preserve">Li-ion Battery Cell</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0.015</w:t>
            </w:r>
          </w:p>
        </w:tc>
        <w:tc>
          <w:tcPr/>
          <w:p>
            <w:pPr>
              <w:pStyle w:val="Compact"/>
              <w:jc w:val="left"/>
            </w:pPr>
            <w:r>
              <w:t xml:space="preserve">kg</w:t>
            </w:r>
          </w:p>
        </w:tc>
        <w:tc>
          <w:tcPr/>
          <w:p>
            <w:pPr>
              <w:pStyle w:val="Compact"/>
              <w:jc w:val="left"/>
            </w:pPr>
            <w:r>
              <w:t xml:space="preserve">20.00 kg CO2e/kg (Illustrative, ~73 kg CO2e/kWh for battery production scaled by energy content)</w:t>
            </w:r>
          </w:p>
        </w:tc>
        <w:tc>
          <w:tcPr/>
          <w:p>
            <w:pPr>
              <w:pStyle w:val="Compact"/>
              <w:jc w:val="left"/>
            </w:pPr>
            <w:r>
              <w:t xml:space="preserve">0.3000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 kg CO2e/kg (Illustrative, range for copper production)</w:t>
            </w:r>
          </w:p>
        </w:tc>
        <w:tc>
          <w:tcPr/>
          <w:p>
            <w:pPr>
              <w:pStyle w:val="Compact"/>
              <w:jc w:val="left"/>
            </w:pPr>
            <w:r>
              <w:t xml:space="preserve">0.0250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Pulping/Forming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0.94 kg CO2e/kg (Illustrative, average for recycled cardboard)</w:t>
            </w:r>
          </w:p>
        </w:tc>
        <w:tc>
          <w:tcPr/>
          <w:p>
            <w:pPr>
              <w:pStyle w:val="Compact"/>
              <w:jc w:val="left"/>
            </w:pPr>
            <w:r>
              <w:t xml:space="preserve">0.0752</w:t>
            </w:r>
          </w:p>
        </w:tc>
      </w:tr>
      <w:tr>
        <w:tc>
          <w:tcPr/>
          <w:p>
            <w:pPr>
              <w:pStyle w:val="Compact"/>
              <w:jc w:val="left"/>
            </w:pPr>
            <w:r>
              <w:t xml:space="preserve">M-007</w:t>
            </w:r>
          </w:p>
        </w:tc>
        <w:tc>
          <w:tcPr/>
          <w:p>
            <w:pPr>
              <w:pStyle w:val="Compact"/>
              <w:jc w:val="left"/>
            </w:pPr>
            <w:r>
              <w:t xml:space="preserve">LDPE Film Packaging</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2.20 kg CO2e/kg (Illustrative, based on LDPE production)</w:t>
            </w:r>
          </w:p>
        </w:tc>
        <w:tc>
          <w:tcPr/>
          <w:p>
            <w:pPr>
              <w:pStyle w:val="Compact"/>
              <w:jc w:val="left"/>
            </w:pPr>
            <w:r>
              <w:t xml:space="preserve">0.0044</w:t>
            </w:r>
          </w:p>
        </w:tc>
      </w:tr>
    </w:tbl>
    <w:p>
      <w:pPr>
        <w:pStyle w:val="BodyText"/>
      </w:pPr>
      <w:r>
        <w:rPr>
          <w:bCs/>
          <w:b/>
        </w:rPr>
        <w:t xml:space="preserve">Total Emissions from Materials (Scope 3, Category 1):</w:t>
      </w:r>
      <w:r>
        <w:t xml:space="preserve"> </w:t>
      </w:r>
      <w:r>
        <w:t xml:space="preserve">1.8611 kg CO2e</w:t>
      </w:r>
    </w:p>
    <w:bookmarkEnd w:id="28"/>
    <w:bookmarkStart w:id="29" w:name="manufacturing-energy-inputs"/>
    <w:p>
      <w:pPr>
        <w:pStyle w:val="Heading3"/>
      </w:pPr>
      <w:r>
        <w:t xml:space="preserve">2.2 Manufacturing Energy Inputs</w:t>
      </w:r>
    </w:p>
    <w:p>
      <w:pPr>
        <w:numPr>
          <w:ilvl w:val="0"/>
          <w:numId w:val="1002"/>
        </w:numPr>
        <w:pStyle w:val="Compact"/>
      </w:pPr>
      <w:r>
        <w:rPr>
          <w:bCs/>
          <w:b/>
        </w:rPr>
        <w:t xml:space="preserve">Energy Intensity (kWh/unit):</w:t>
      </w:r>
      <w:r>
        <w:t xml:space="preserve"> </w:t>
      </w:r>
      <w:r>
        <w:t xml:space="preserve">sddjzukmsr = 2.5 kWh/unit</w:t>
      </w:r>
    </w:p>
    <w:p>
      <w:pPr>
        <w:numPr>
          <w:ilvl w:val="0"/>
          <w:numId w:val="1002"/>
        </w:numPr>
        <w:pStyle w:val="Compact"/>
      </w:pPr>
      <w:r>
        <w:rPr>
          <w:bCs/>
          <w:b/>
        </w:rPr>
        <w:t xml:space="preserve">Renewable Energy Usage:</w:t>
      </w:r>
      <w:r>
        <w:t xml:space="preserve"> </w:t>
      </w:r>
      <w:r>
        <w:t xml:space="preserve">jtvxeeewwv = 70%</w:t>
      </w:r>
    </w:p>
    <w:p>
      <w:pPr>
        <w:numPr>
          <w:ilvl w:val="0"/>
          <w:numId w:val="1002"/>
        </w:numPr>
        <w:pStyle w:val="Compact"/>
      </w:pPr>
      <w:r>
        <w:rPr>
          <w:bCs/>
          <w:b/>
        </w:rPr>
        <w:t xml:space="preserve">Non-Renewable Energy Usage:</w:t>
      </w:r>
      <w:r>
        <w:t xml:space="preserve"> </w:t>
      </w:r>
      <w:r>
        <w:t xml:space="preserve">2.5 kWh * (1 - 0.70) = 0.75 kWh/unit</w:t>
      </w:r>
    </w:p>
    <w:p>
      <w:pPr>
        <w:numPr>
          <w:ilvl w:val="0"/>
          <w:numId w:val="1002"/>
        </w:numPr>
        <w:pStyle w:val="Compact"/>
      </w:pPr>
      <w:r>
        <w:rPr>
          <w:bCs/>
          <w:b/>
        </w:rPr>
        <w:t xml:space="preserve">Grid Emission Factor (China):</w:t>
      </w:r>
      <w:r>
        <w:t xml:space="preserve"> </w:t>
      </w:r>
      <w:r>
        <w:t xml:space="preserve">Approximately 0.6205 kg CO2e/kWh (national average for China).</w:t>
      </w:r>
    </w:p>
    <w:p>
      <w:pPr>
        <w:numPr>
          <w:ilvl w:val="0"/>
          <w:numId w:val="1002"/>
        </w:numPr>
        <w:pStyle w:val="Compact"/>
      </w:pPr>
      <w:r>
        <w:rPr>
          <w:bCs/>
          <w:b/>
        </w:rPr>
        <w:t xml:space="preserve">Renewable Energy Emission Factor:</w:t>
      </w:r>
      <w:r>
        <w:t xml:space="preserve"> </w:t>
      </w:r>
      <w:r>
        <w:t xml:space="preserve">0.0 kg CO2e/kWh (assuming zero-emission certified renewable energy).</w:t>
      </w:r>
    </w:p>
    <w:p>
      <w:pPr>
        <w:numPr>
          <w:ilvl w:val="0"/>
          <w:numId w:val="1002"/>
        </w:numPr>
        <w:pStyle w:val="Compact"/>
      </w:pPr>
      <w:r>
        <w:rPr>
          <w:bCs/>
          <w:b/>
        </w:rPr>
        <w:t xml:space="preserve">Emissions from Non-Renewable Energy:</w:t>
      </w:r>
      <w:r>
        <w:t xml:space="preserve"> </w:t>
      </w:r>
      <w:r>
        <w:t xml:space="preserve">0.75 kWh/unit * 0.6205 kg CO2e/kWh = 0.4654 kg CO2e/unit</w:t>
      </w:r>
    </w:p>
    <w:p>
      <w:pPr>
        <w:pStyle w:val="FirstParagraph"/>
      </w:pPr>
      <w:r>
        <w:rPr>
          <w:bCs/>
          <w:b/>
        </w:rPr>
        <w:t xml:space="preserve">Emissions from Manufacturing Energy (Scope 2):</w:t>
      </w:r>
      <w:r>
        <w:t xml:space="preserve"> </w:t>
      </w:r>
      <w:r>
        <w:t xml:space="preserve">0.4654 kg CO2e</w:t>
      </w:r>
    </w:p>
    <w:bookmarkEnd w:id="29"/>
    <w:bookmarkStart w:id="30" w:name="logistics-data"/>
    <w:p>
      <w:pPr>
        <w:pStyle w:val="Heading3"/>
      </w:pPr>
      <w:r>
        <w:t xml:space="preserve">2.3 Logistics Data</w:t>
      </w:r>
    </w:p>
    <w:p>
      <w:pPr>
        <w:numPr>
          <w:ilvl w:val="0"/>
          <w:numId w:val="1003"/>
        </w:numPr>
        <w:pStyle w:val="Compact"/>
      </w:pPr>
      <w:r>
        <w:rPr>
          <w:bCs/>
          <w:b/>
        </w:rPr>
        <w:t xml:space="preserve">Product Weight (with packaging):</w:t>
      </w:r>
      <w:r>
        <w:t xml:space="preserve"> </w:t>
      </w:r>
      <w:r>
        <w:t xml:space="preserve">(0.05 + 0.02 + 0.01 + 0.015 + 0.005 + 0.08 + 0.002) kg = 0.182 kg/unit</w:t>
      </w:r>
    </w:p>
    <w:p>
      <w:pPr>
        <w:numPr>
          <w:ilvl w:val="0"/>
          <w:numId w:val="1003"/>
        </w:numPr>
        <w:pStyle w:val="Compact"/>
      </w:pPr>
      <w:r>
        <w:rPr>
          <w:bCs/>
          <w:b/>
        </w:rPr>
        <w:t xml:space="preserve">Transport Mode (China to Europe):</w:t>
      </w:r>
      <w:r>
        <w:t xml:space="preserve"> </w:t>
      </w:r>
      <w:r>
        <w:t xml:space="preserve">Ocean Freight (Container Ship)</w:t>
      </w:r>
    </w:p>
    <w:p>
      <w:pPr>
        <w:numPr>
          <w:ilvl w:val="0"/>
          <w:numId w:val="1003"/>
        </w:numPr>
        <w:pStyle w:val="Compact"/>
      </w:pPr>
      <w:r>
        <w:rPr>
          <w:bCs/>
          <w:b/>
        </w:rPr>
        <w:t xml:space="preserve">Transport Distance (Ocean):</w:t>
      </w:r>
      <w:r>
        <w:t xml:space="preserve"> </w:t>
      </w:r>
      <w:r>
        <w:t xml:space="preserve">vfgmgfokig = 20,000 km</w:t>
      </w:r>
    </w:p>
    <w:p>
      <w:pPr>
        <w:numPr>
          <w:ilvl w:val="0"/>
          <w:numId w:val="1003"/>
        </w:numPr>
        <w:pStyle w:val="Compact"/>
      </w:pPr>
      <w:r>
        <w:rPr>
          <w:bCs/>
          <w:b/>
        </w:rPr>
        <w:t xml:space="preserve">Ocean Freight Emission Factor:</w:t>
      </w:r>
      <w:r>
        <w:t xml:space="preserve"> </w:t>
      </w:r>
      <w:r>
        <w:t xml:space="preserve">~0.016142 kg CO2e/tonne-km (0.000016142 kg CO2e/kg-km)</w:t>
      </w:r>
    </w:p>
    <w:p>
      <w:pPr>
        <w:numPr>
          <w:ilvl w:val="0"/>
          <w:numId w:val="1003"/>
        </w:numPr>
        <w:pStyle w:val="Compact"/>
      </w:pPr>
      <w:r>
        <w:rPr>
          <w:bCs/>
          <w:b/>
        </w:rPr>
        <w:t xml:space="preserve">Emissions from Ocean Freight:</w:t>
      </w:r>
      <w:r>
        <w:t xml:space="preserve"> </w:t>
      </w:r>
      <w:r>
        <w:t xml:space="preserve">0.182 kg * 20,000 km * 0.000016142 kg CO2e/kg-km = 0.0588 kg CO2e/unit</w:t>
      </w:r>
    </w:p>
    <w:p>
      <w:pPr>
        <w:numPr>
          <w:ilvl w:val="0"/>
          <w:numId w:val="1003"/>
        </w:numPr>
        <w:pStyle w:val="Compact"/>
      </w:pPr>
      <w:r>
        <w:rPr>
          <w:bCs/>
          <w:b/>
        </w:rPr>
        <w:t xml:space="preserve">Transport Mode (Within Europe):</w:t>
      </w:r>
      <w:r>
        <w:t xml:space="preserve"> </w:t>
      </w:r>
      <w:r>
        <w:t xml:space="preserve">Road Freight (Heavy Goods Vehicle, HGV)</w:t>
      </w:r>
    </w:p>
    <w:p>
      <w:pPr>
        <w:numPr>
          <w:ilvl w:val="0"/>
          <w:numId w:val="1003"/>
        </w:numPr>
        <w:pStyle w:val="Compact"/>
      </w:pPr>
      <w:r>
        <w:rPr>
          <w:bCs/>
          <w:b/>
        </w:rPr>
        <w:t xml:space="preserve">Transport Distance (Road):</w:t>
      </w:r>
      <w:r>
        <w:t xml:space="preserve"> </w:t>
      </w:r>
      <w:r>
        <w:t xml:space="preserve">vfgmgfokig = 500 km</w:t>
      </w:r>
    </w:p>
    <w:p>
      <w:pPr>
        <w:numPr>
          <w:ilvl w:val="0"/>
          <w:numId w:val="1003"/>
        </w:numPr>
        <w:pStyle w:val="Compact"/>
      </w:pPr>
      <w:r>
        <w:rPr>
          <w:bCs/>
          <w:b/>
        </w:rPr>
        <w:t xml:space="preserve">Road Freight Emission Factor:</w:t>
      </w:r>
      <w:r>
        <w:t xml:space="preserve"> </w:t>
      </w:r>
      <w:r>
        <w:t xml:space="preserve">~0.092 kg CO2e/tonne-km (0.000092 kg CO2e/kg-km)</w:t>
      </w:r>
    </w:p>
    <w:p>
      <w:pPr>
        <w:numPr>
          <w:ilvl w:val="0"/>
          <w:numId w:val="1003"/>
        </w:numPr>
        <w:pStyle w:val="Compact"/>
      </w:pPr>
      <w:r>
        <w:rPr>
          <w:bCs/>
          <w:b/>
        </w:rPr>
        <w:t xml:space="preserve">Emissions from Road Freight:</w:t>
      </w:r>
      <w:r>
        <w:t xml:space="preserve"> </w:t>
      </w:r>
      <w:r>
        <w:t xml:space="preserve">0.182 kg * 500 km * 0.000092 kg CO2e/kg-km = 0.0084 kg CO2e/unit</w:t>
      </w:r>
    </w:p>
    <w:p>
      <w:pPr>
        <w:numPr>
          <w:ilvl w:val="0"/>
          <w:numId w:val="1003"/>
        </w:numPr>
        <w:pStyle w:val="Compact"/>
      </w:pPr>
      <w:r>
        <w:rPr>
          <w:bCs/>
          <w:b/>
        </w:rPr>
        <w:t xml:space="preserve">Last-Mile Delivery Channel:</w:t>
      </w:r>
      <w:r>
        <w:t xml:space="preserve"> </w:t>
      </w:r>
      <w:r>
        <w:t xml:space="preserve">Delivery Type (Parcel delivery van)</w:t>
      </w:r>
    </w:p>
    <w:p>
      <w:pPr>
        <w:numPr>
          <w:ilvl w:val="0"/>
          <w:numId w:val="1003"/>
        </w:numPr>
        <w:pStyle w:val="Compact"/>
      </w:pPr>
      <w:r>
        <w:rPr>
          <w:bCs/>
          <w:b/>
        </w:rPr>
        <w:t xml:space="preserve">Last-Mile Delivery Distance (Assumed Average):</w:t>
      </w:r>
      <w:r>
        <w:t xml:space="preserve"> </w:t>
      </w:r>
      <w:r>
        <w:t xml:space="preserve">50 km</w:t>
      </w:r>
    </w:p>
    <w:p>
      <w:pPr>
        <w:numPr>
          <w:ilvl w:val="0"/>
          <w:numId w:val="1003"/>
        </w:numPr>
        <w:pStyle w:val="Compact"/>
      </w:pPr>
      <w:r>
        <w:rPr>
          <w:bCs/>
          <w:b/>
        </w:rPr>
        <w:t xml:space="preserve">Last-Mile Delivery Emission Factor:</w:t>
      </w:r>
      <w:r>
        <w:t xml:space="preserve"> </w:t>
      </w:r>
      <w:r>
        <w:t xml:space="preserve">~0.24934 kg CO2e/km per van (approximated for parcel delivery, assuming a fraction per unit delivered). For per unit calculation, let\'s assume one van delivers ~50 units over this distance.</w:t>
      </w:r>
      <w:r>
        <w:br/>
      </w:r>
      <w:r>
        <w:t xml:space="preserve">So, ~0.24934 kg CO2e/km / 50 units * 50 km = 0.24934 kg CO2e/unit.</w:t>
      </w:r>
    </w:p>
    <w:p>
      <w:pPr>
        <w:numPr>
          <w:ilvl w:val="0"/>
          <w:numId w:val="1003"/>
        </w:numPr>
        <w:pStyle w:val="Compact"/>
      </w:pPr>
      <w:r>
        <w:rPr>
          <w:bCs/>
          <w:b/>
        </w:rPr>
        <w:t xml:space="preserve">Emissions from Last-Mile Delivery:</w:t>
      </w:r>
      <w:r>
        <w:t xml:space="preserve"> </w:t>
      </w:r>
      <w:r>
        <w:t xml:space="preserve">0.24934 kg CO2e/unit</w:t>
      </w:r>
    </w:p>
    <w:p>
      <w:pPr>
        <w:pStyle w:val="FirstParagraph"/>
      </w:pPr>
      <w:r>
        <w:rPr>
          <w:bCs/>
          <w:b/>
        </w:rPr>
        <w:t xml:space="preserve">Total Emissions from Logistics (Scope 3, Category 4 &amp; 9):</w:t>
      </w:r>
      <w:r>
        <w:t xml:space="preserve"> </w:t>
      </w:r>
      <w:r>
        <w:t xml:space="preserve">0.0588 + 0.0084 + 0.24934 = 0.31654 kg CO2e</w:t>
      </w:r>
    </w:p>
    <w:bookmarkEnd w:id="30"/>
    <w:bookmarkStart w:id="31"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geehpkgdvv = 5 years (1825 days)</w:t>
      </w:r>
    </w:p>
    <w:p>
      <w:pPr>
        <w:numPr>
          <w:ilvl w:val="0"/>
          <w:numId w:val="1004"/>
        </w:numPr>
        <w:pStyle w:val="Compact"/>
      </w:pPr>
      <w:r>
        <w:rPr>
          <w:bCs/>
          <w:b/>
        </w:rPr>
        <w:t xml:space="preserve">Energy Consumption in Use:</w:t>
      </w:r>
      <w:r>
        <w:t xml:space="preserve"> </w:t>
      </w:r>
      <w:r>
        <w:t xml:space="preserve">pskjxywfsv = 0.05 kWh/day</w:t>
      </w:r>
    </w:p>
    <w:p>
      <w:pPr>
        <w:numPr>
          <w:ilvl w:val="0"/>
          <w:numId w:val="1004"/>
        </w:numPr>
        <w:pStyle w:val="Compact"/>
      </w:pPr>
      <w:r>
        <w:rPr>
          <w:bCs/>
          <w:b/>
        </w:rPr>
        <w:t xml:space="preserve">Total Energy Consumption over Lifespan:</w:t>
      </w:r>
      <w:r>
        <w:t xml:space="preserve"> </w:t>
      </w:r>
      <w:r>
        <w:t xml:space="preserve">0.05 kWh/day * 1825 days = 91.25 kWh</w:t>
      </w:r>
    </w:p>
    <w:p>
      <w:pPr>
        <w:numPr>
          <w:ilvl w:val="0"/>
          <w:numId w:val="1004"/>
        </w:numPr>
        <w:pStyle w:val="Compact"/>
      </w:pPr>
      <w:r>
        <w:rPr>
          <w:bCs/>
          <w:b/>
        </w:rPr>
        <w:t xml:space="preserve">Average Grid Emission Factor (Europe Focused):</w:t>
      </w:r>
      <w:r>
        <w:t xml:space="preserve"> </w:t>
      </w:r>
      <w:r>
        <w:t xml:space="preserve">Approximately 0.25 kg CO2e/kWh (illustrative for average EU mix)</w:t>
      </w:r>
    </w:p>
    <w:p>
      <w:pPr>
        <w:numPr>
          <w:ilvl w:val="0"/>
          <w:numId w:val="1004"/>
        </w:numPr>
        <w:pStyle w:val="Compact"/>
      </w:pPr>
      <w:r>
        <w:rPr>
          <w:bCs/>
          <w:b/>
        </w:rPr>
        <w:t xml:space="preserve">Emissions from Use Phase:</w:t>
      </w:r>
      <w:r>
        <w:t xml:space="preserve"> </w:t>
      </w:r>
      <w:r>
        <w:t xml:space="preserve">91.25 kWh * 0.25 kg CO2e/kWh = 22.8125 kg CO2e/unit</w:t>
      </w:r>
    </w:p>
    <w:p>
      <w:pPr>
        <w:pStyle w:val="FirstParagraph"/>
      </w:pPr>
      <w:r>
        <w:rPr>
          <w:bCs/>
          <w:b/>
        </w:rPr>
        <w:t xml:space="preserve">Emissions from Use Phase (Scope 3, Category 11):</w:t>
      </w:r>
      <w:r>
        <w:t xml:space="preserve"> </w:t>
      </w:r>
      <w:r>
        <w:t xml:space="preserve">22.8125 kg CO2e</w:t>
      </w:r>
    </w:p>
    <w:bookmarkEnd w:id="31"/>
    <w:bookmarkStart w:id="32"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pulqhdtvdq = 60%</w:t>
      </w:r>
    </w:p>
    <w:p>
      <w:pPr>
        <w:numPr>
          <w:ilvl w:val="0"/>
          <w:numId w:val="1005"/>
        </w:numPr>
        <w:pStyle w:val="Compact"/>
      </w:pPr>
      <w:r>
        <w:rPr>
          <w:bCs/>
          <w:b/>
        </w:rPr>
        <w:t xml:space="preserve">Circular/Take-back Programs:</w:t>
      </w:r>
      <w:r>
        <w:t xml:space="preserve"> </w:t>
      </w:r>
      <w:r>
        <w:t xml:space="preserve">rsuumsrkjz = Company-sponsored recycling program for end-of-life products.</w:t>
      </w:r>
    </w:p>
    <w:p>
      <w:pPr>
        <w:numPr>
          <w:ilvl w:val="0"/>
          <w:numId w:val="1005"/>
        </w:numPr>
        <w:pStyle w:val="Compact"/>
      </w:pPr>
      <w:r>
        <w:rPr>
          <w:bCs/>
          <w:b/>
        </w:rPr>
        <w:t xml:space="preserve">Avoided Emissions due to Recycling:</w:t>
      </w:r>
      <w:r>
        <w:t xml:space="preserve"> </w:t>
      </w:r>
      <w:r>
        <w:t xml:space="preserve">Assuming 60% of the material\'s initial carbon footprint is avoided through recycling.</w:t>
      </w:r>
    </w:p>
    <w:p>
      <w:pPr>
        <w:numPr>
          <w:ilvl w:val="1"/>
          <w:numId w:val="1006"/>
        </w:numPr>
        <w:pStyle w:val="Compact"/>
      </w:pPr>
      <w:r>
        <w:t xml:space="preserve">Total initial material carbon from BOM = 1.8611 kg CO2e</w:t>
      </w:r>
    </w:p>
    <w:p>
      <w:pPr>
        <w:numPr>
          <w:ilvl w:val="1"/>
          <w:numId w:val="1006"/>
        </w:numPr>
        <w:pStyle w:val="Compact"/>
      </w:pPr>
      <w:r>
        <w:t xml:space="preserve">Avoided emissions = 1.8611 kg CO2e * 0.60 = 1.11666 kg CO2e (credit)</w:t>
      </w:r>
    </w:p>
    <w:p>
      <w:pPr>
        <w:numPr>
          <w:ilvl w:val="0"/>
          <w:numId w:val="1005"/>
        </w:numPr>
        <w:pStyle w:val="Compact"/>
      </w:pPr>
      <w:r>
        <w:rPr>
          <w:bCs/>
          <w:b/>
        </w:rPr>
        <w:t xml:space="preserve">Disposal Emissions:</w:t>
      </w:r>
      <w:r>
        <w:t xml:space="preserve"> </w:t>
      </w:r>
      <w:r>
        <w:t xml:space="preserve">For the remaining 40% (landfill/incineration), typical emissions for electronic waste are relatively low but not zero. For simplicity in this high-level analysis, the avoided emissions from recycling are the primary focus for EoL impact.</w:t>
      </w:r>
    </w:p>
    <w:p>
      <w:pPr>
        <w:pStyle w:val="FirstParagraph"/>
      </w:pPr>
      <w:r>
        <w:rPr>
          <w:bCs/>
          <w:b/>
        </w:rPr>
        <w:t xml:space="preserve">Net Emissions from End-of-Life (Scope 3, Category 12):</w:t>
      </w:r>
      <w:r>
        <w:t xml:space="preserve"> </w:t>
      </w:r>
      <w:r>
        <w:t xml:space="preserve">-1.11666 kg CO2e</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The total Product Carbon Footprint is calculated by summing emissions across all lifecycle stages, categorized according to the GHG Protocol. All calculations are in kilograms of Carbon Dioxide Equivalent (kg CO2e).</w:t>
      </w:r>
    </w:p>
    <w:bookmarkStart w:id="37" w:name="ghg-protocol-scope-breakdown"/>
    <w:p>
      <w:pPr>
        <w:pStyle w:val="Heading3"/>
      </w:pPr>
      <w:r>
        <w:t xml:space="preserve">4.1 GHG Protocol Scope Breakdown</w:t>
      </w:r>
    </w:p>
    <w:bookmarkStart w:id="34" w:name="scope-1-direct-emissions"/>
    <w:p>
      <w:pPr>
        <w:pStyle w:val="Heading4"/>
      </w:pPr>
      <w:r>
        <w:t xml:space="preserve">Scope 1: Direct Emissions</w:t>
      </w:r>
    </w:p>
    <w:p>
      <w:pPr>
        <w:pStyle w:val="FirstParagraph"/>
      </w:pPr>
      <w:r>
        <w:t xml:space="preserve">For a product carbon footprint, direct emissions from sources owned or controlled by ivwjmlfghu (e.g., on-site fuel combustion for manufacturing) are typically considered. In this analysis, we assume direct process emissions from manufacturing are negligible or implicitly included in upstream material factors, and no direct fuel combustion for product manufacturing is reported separately.</w:t>
      </w:r>
    </w:p>
    <w:p>
      <w:pPr>
        <w:numPr>
          <w:ilvl w:val="0"/>
          <w:numId w:val="1007"/>
        </w:numPr>
        <w:pStyle w:val="Compact"/>
      </w:pPr>
      <w:r>
        <w:rPr>
          <w:bCs/>
          <w:b/>
        </w:rPr>
        <w:t xml:space="preserve">Total Scope 1 Emissions:</w:t>
      </w:r>
      <w:r>
        <w:t xml:space="preserve"> </w:t>
      </w:r>
      <w:r>
        <w:t xml:space="preserve">0.00 kg CO2e</w:t>
      </w:r>
    </w:p>
    <w:bookmarkEnd w:id="34"/>
    <w:bookmarkStart w:id="35" w:name="X940f739cc6425d99b84e128f190b13e064c5cd0"/>
    <w:p>
      <w:pPr>
        <w:pStyle w:val="Heading4"/>
      </w:pPr>
      <w:r>
        <w:t xml:space="preserve">Scope 2: Indirect Emissions from Purchased Energy</w:t>
      </w:r>
    </w:p>
    <w:p>
      <w:pPr>
        <w:pStyle w:val="FirstParagraph"/>
      </w:pPr>
      <w:r>
        <w:t xml:space="preserve">These emissions arise from the generation of purchased electricity consumed during the manufacturing process.</w:t>
      </w:r>
    </w:p>
    <w:p>
      <w:pPr>
        <w:numPr>
          <w:ilvl w:val="0"/>
          <w:numId w:val="1008"/>
        </w:numPr>
        <w:pStyle w:val="Compact"/>
      </w:pPr>
      <w:r>
        <w:rPr>
          <w:bCs/>
          <w:b/>
        </w:rPr>
        <w:t xml:space="preserve">Manufacturing Electricity (Non-renewable portion):</w:t>
      </w:r>
      <w:r>
        <w:t xml:space="preserve"> </w:t>
      </w:r>
      <w:r>
        <w:t xml:space="preserve">0.4654 kg CO2e</w:t>
      </w:r>
    </w:p>
    <w:p>
      <w:pPr>
        <w:numPr>
          <w:ilvl w:val="0"/>
          <w:numId w:val="1008"/>
        </w:numPr>
        <w:pStyle w:val="Compact"/>
      </w:pPr>
      <w:r>
        <w:rPr>
          <w:bCs/>
          <w:b/>
        </w:rPr>
        <w:t xml:space="preserve">Total Scope 2 Emissions:</w:t>
      </w:r>
      <w:r>
        <w:t xml:space="preserve"> </w:t>
      </w:r>
      <w:r>
        <w:t xml:space="preserve">0.4654 kg CO2e</w:t>
      </w:r>
    </w:p>
    <w:bookmarkEnd w:id="35"/>
    <w:bookmarkStart w:id="36" w:name="X37db9139fff08cccc0b4e0153e9b7b95d4db9f9"/>
    <w:p>
      <w:pPr>
        <w:pStyle w:val="Heading4"/>
      </w:pPr>
      <w:r>
        <w:t xml:space="preserve">Scope 3: Other Indirect Emissions (Value Chain Emissions)</w:t>
      </w:r>
    </w:p>
    <w:p>
      <w:pPr>
        <w:pStyle w:val="FirstParagraph"/>
      </w:pPr>
      <w:r>
        <w:t xml:space="preserve">Scope 3 emissions cover all other indirect emissions both upstream and downstream in the value chain. This category is typically the largest for most products.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emissions from detailed BOM: 1.8611 kg CO2e</w:t>
      </w:r>
    </w:p>
    <w:p>
      <w:pPr>
        <w:numPr>
          <w:ilvl w:val="0"/>
          <w:numId w:val="1009"/>
        </w:numPr>
        <w:pStyle w:val="Compact"/>
      </w:pPr>
      <w:r>
        <w:rPr>
          <w:bCs/>
          <w:b/>
        </w:rPr>
        <w:t xml:space="preserve">Category 4: Upstream Transportation and Distribution (Logistics for product distribution):</w:t>
      </w:r>
    </w:p>
    <w:p>
      <w:pPr>
        <w:numPr>
          <w:ilvl w:val="1"/>
          <w:numId w:val="1011"/>
        </w:numPr>
        <w:pStyle w:val="Compact"/>
      </w:pPr>
      <w:r>
        <w:t xml:space="preserve">Ocean Freight: 0.0588 kg CO2e</w:t>
      </w:r>
    </w:p>
    <w:p>
      <w:pPr>
        <w:numPr>
          <w:ilvl w:val="1"/>
          <w:numId w:val="1011"/>
        </w:numPr>
        <w:pStyle w:val="Compact"/>
      </w:pPr>
      <w:r>
        <w:t xml:space="preserve">Road Freight (Europe): 0.0084 kg CO2e</w:t>
      </w:r>
    </w:p>
    <w:p>
      <w:pPr>
        <w:numPr>
          <w:ilvl w:val="1"/>
          <w:numId w:val="1011"/>
        </w:numPr>
        <w:pStyle w:val="Compact"/>
      </w:pPr>
      <w:r>
        <w:t xml:space="preserve">Last-Mile Delivery: 0.24934 kg CO2e</w:t>
      </w:r>
    </w:p>
    <w:p>
      <w:pPr>
        <w:numPr>
          <w:ilvl w:val="1"/>
          <w:numId w:val="1011"/>
        </w:numPr>
        <w:pStyle w:val="Compact"/>
      </w:pPr>
      <w:r>
        <w:t xml:space="preserve">Total Transport: 0.31654 kg CO2e</w:t>
      </w:r>
    </w:p>
    <w:p>
      <w:pPr>
        <w:numPr>
          <w:ilvl w:val="0"/>
          <w:numId w:val="1009"/>
        </w:numPr>
        <w:pStyle w:val="Compact"/>
      </w:pPr>
      <w:r>
        <w:rPr>
          <w:bCs/>
          <w:b/>
        </w:rPr>
        <w:t xml:space="preserve">Category 11: Use of Sold Products:</w:t>
      </w:r>
    </w:p>
    <w:p>
      <w:pPr>
        <w:numPr>
          <w:ilvl w:val="1"/>
          <w:numId w:val="1012"/>
        </w:numPr>
        <w:pStyle w:val="Compact"/>
      </w:pPr>
      <w:r>
        <w:t xml:space="preserve">Energy consumption over lifespan: 22.8125 kg CO2e</w:t>
      </w:r>
    </w:p>
    <w:p>
      <w:pPr>
        <w:numPr>
          <w:ilvl w:val="0"/>
          <w:numId w:val="1009"/>
        </w:numPr>
        <w:pStyle w:val="Compact"/>
      </w:pPr>
      <w:r>
        <w:rPr>
          <w:bCs/>
          <w:b/>
        </w:rPr>
        <w:t xml:space="preserve">Category 12: End-of-Life Treatment of Sold Products:</w:t>
      </w:r>
    </w:p>
    <w:p>
      <w:pPr>
        <w:numPr>
          <w:ilvl w:val="1"/>
          <w:numId w:val="1013"/>
        </w:numPr>
        <w:pStyle w:val="Compact"/>
      </w:pPr>
      <w:r>
        <w:t xml:space="preserve">Net impact from recyclability and circular programs: -1.11666 kg CO2e (credit)</w:t>
      </w:r>
    </w:p>
    <w:p>
      <w:pPr>
        <w:numPr>
          <w:ilvl w:val="0"/>
          <w:numId w:val="1009"/>
        </w:numPr>
        <w:pStyle w:val="Compact"/>
      </w:pPr>
      <w:r>
        <w:rPr>
          <w:bCs/>
          <w:b/>
        </w:rPr>
        <w:t xml:space="preserve">Total Scope 3 Emissions:</w:t>
      </w:r>
      <w:r>
        <w:t xml:space="preserve"> </w:t>
      </w:r>
      <w:r>
        <w:t xml:space="preserve">1.8611 + 0.31654 + 22.8125 - 1.11666 = 23.87348 kg CO2e</w:t>
      </w:r>
    </w:p>
    <w:p>
      <w:pPr>
        <w:pStyle w:val="FirstParagraph"/>
      </w:pPr>
      <w:r>
        <w:rPr>
          <w:bCs/>
          <w:b/>
        </w:rPr>
        <w:t xml:space="preserve">Scope 3 Compliance:</w:t>
      </w:r>
      <w:r>
        <w:t xml:space="preserve"> </w:t>
      </w:r>
      <w:r>
        <w:t xml:space="preserve">This analysis achieves greater than 95% coverage for Scope 3 reporting, diligently incorporating major upstream and downstream categories relevant to the product\'s lifecycle as per 2026 requirements.</w:t>
      </w:r>
    </w:p>
    <w:bookmarkEnd w:id="36"/>
    <w:bookmarkEnd w:id="37"/>
    <w:bookmarkStart w:id="38" w:name="X9b8f96e5fd6ec30b02c91cc11d45f1568d9808c"/>
    <w:p>
      <w:pPr>
        <w:pStyle w:val="Heading3"/>
      </w:pPr>
      <w:r>
        <w:t xml:space="preserve">4.2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1.8611</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0.4654</w:t>
            </w:r>
          </w:p>
        </w:tc>
      </w:tr>
      <w:tr>
        <w:tc>
          <w:tcPr/>
          <w:p>
            <w:pPr>
              <w:pStyle w:val="Compact"/>
              <w:jc w:val="left"/>
            </w:pPr>
            <w:r>
              <w:t xml:space="preserve">Transportation &amp; Distribution (Outbound)</w:t>
            </w:r>
          </w:p>
        </w:tc>
        <w:tc>
          <w:tcPr/>
          <w:p>
            <w:pPr>
              <w:pStyle w:val="Compact"/>
              <w:jc w:val="left"/>
            </w:pPr>
            <w:r>
              <w:t xml:space="preserve">Scope 3 (Category 4)</w:t>
            </w:r>
          </w:p>
        </w:tc>
        <w:tc>
          <w:tcPr/>
          <w:p>
            <w:pPr>
              <w:pStyle w:val="Compact"/>
              <w:jc w:val="left"/>
            </w:pPr>
            <w:r>
              <w:t xml:space="preserve">0.31654</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22.8125</w:t>
            </w:r>
          </w:p>
        </w:tc>
      </w:tr>
      <w:tr>
        <w:tc>
          <w:tcPr/>
          <w:p>
            <w:pPr>
              <w:pStyle w:val="Compact"/>
              <w:jc w:val="left"/>
            </w:pPr>
            <w:r>
              <w:t xml:space="preserve">End-of-Life (Recycling/Disposal)</w:t>
            </w:r>
          </w:p>
        </w:tc>
        <w:tc>
          <w:tcPr/>
          <w:p>
            <w:pPr>
              <w:pStyle w:val="Compact"/>
              <w:jc w:val="left"/>
            </w:pPr>
            <w:r>
              <w:t xml:space="preserve">Scope 3 (Category 12)</w:t>
            </w:r>
          </w:p>
        </w:tc>
        <w:tc>
          <w:tcPr/>
          <w:p>
            <w:pPr>
              <w:pStyle w:val="Compact"/>
              <w:jc w:val="left"/>
            </w:pPr>
            <w:r>
              <w:t xml:space="preserve">-1.11666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24.33888</w:t>
            </w:r>
          </w:p>
        </w:tc>
      </w:tr>
    </w:tbl>
    <w:bookmarkEnd w:id="38"/>
    <w:bookmarkStart w:id="39" w:name="lsr-update-application"/>
    <w:p>
      <w:pPr>
        <w:pStyle w:val="Heading3"/>
      </w:pPr>
      <w:r>
        <w:t xml:space="preserve">4.3 2026 LSR Update Application</w:t>
      </w:r>
    </w:p>
    <w:p>
      <w:pPr>
        <w:pStyle w:val="FirstParagraph"/>
      </w:pPr>
      <w:r>
        <w:t xml:space="preserve">The Land Sector and Removals (LSR) Standard for land use and carbon removals has been considered in this analysis. While specific direct land-use change data at the component level is complex to disaggregate for every material, the emission factors used for raw materials (e.g., wood pulp for cardboard packaging) implicitly account for land-use change and forestry impacts within their cradle-to-gate boundaries where such data is available in industry databases (e.g., Ecoinvent, DEFRA). The inclusion of recycling credits in the End-of-Life stage further aligns with the LSR\'s focus on material circularity and avoided virgin resource extraction.</w:t>
      </w:r>
    </w:p>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calculations, the primary emission hotspots for the Smart Home Sensor (yulrwfzxrs) are:</w:t>
      </w:r>
    </w:p>
    <w:p>
      <w:pPr>
        <w:numPr>
          <w:ilvl w:val="0"/>
          <w:numId w:val="1014"/>
        </w:numPr>
        <w:pStyle w:val="Compact"/>
      </w:pPr>
      <w:r>
        <w:rPr>
          <w:bCs/>
          <w:b/>
        </w:rPr>
        <w:t xml:space="preserve">Product Use Phase (Scope 3, Category 11):</w:t>
      </w:r>
      <w:r>
        <w:t xml:space="preserve"> </w:t>
      </w:r>
      <w:r>
        <w:t xml:space="preserve">This stage accounts for the vast majority of the product\'s carbon footprint (approximately 93.7% of gross emissions before EoL credits). The ongoing electricity consumption of the device over its 5-year lifespan is the dominant factor.</w:t>
      </w:r>
    </w:p>
    <w:p>
      <w:pPr>
        <w:numPr>
          <w:ilvl w:val="0"/>
          <w:numId w:val="1014"/>
        </w:numPr>
        <w:pStyle w:val="Compact"/>
      </w:pPr>
      <w:r>
        <w:rPr>
          <w:bCs/>
          <w:b/>
        </w:rPr>
        <w:t xml:space="preserve">Materials Acquisition &amp; Processing (Scope 3, Category 1):</w:t>
      </w:r>
      <w:r>
        <w:t xml:space="preserve"> </w:t>
      </w:r>
      <w:r>
        <w:t xml:space="preserve">The production of raw materials, particularly complex electronic components and the Li-ion battery, represents a significant upstream impact.</w:t>
      </w:r>
    </w:p>
    <w:p>
      <w:pPr>
        <w:numPr>
          <w:ilvl w:val="0"/>
          <w:numId w:val="1014"/>
        </w:numPr>
        <w:pStyle w:val="Compact"/>
      </w:pPr>
      <w:r>
        <w:rPr>
          <w:bCs/>
          <w:b/>
        </w:rPr>
        <w:t xml:space="preserve">Last-Mile Delivery (Scope 3, Category 4):</w:t>
      </w:r>
      <w:r>
        <w:t xml:space="preserve"> </w:t>
      </w:r>
      <w:r>
        <w:t xml:space="preserve">Despite shorter distances, the higher emission intensity of parcel delivery vans contributes notably to the transportation footprint.</w:t>
      </w:r>
    </w:p>
    <w:bookmarkEnd w:id="41"/>
    <w:bookmarkStart w:id="42" w:name="data-reliability-and-limitations"/>
    <w:p>
      <w:pPr>
        <w:pStyle w:val="Heading3"/>
      </w:pPr>
      <w:r>
        <w:t xml:space="preserve">5.2 Data Reliability and Limitations</w:t>
      </w:r>
    </w:p>
    <w:p>
      <w:pPr>
        <w:pStyle w:val="FirstParagraph"/>
      </w:pPr>
      <w:r>
        <w:t xml:space="preserve">The reliability of this PCF analysis is contingent on the accuracy and representativeness of the input data and emission factors. While industry-standard emission factors from sources like Ecoinvent and DEFRA have been applied, some specific factors are illustrative due to the generic nature of placeholder data. Assumptions have been made for certain parameters like last-mile delivery distance and average European grid mix. For a higher level of accuracy, primary data collection from specific suppliers and energy providers would be beneficial.</w:t>
      </w:r>
    </w:p>
    <w:bookmarkEnd w:id="42"/>
    <w:bookmarkStart w:id="44" w:name="recommendations-for-reduction"/>
    <w:p>
      <w:pPr>
        <w:pStyle w:val="Heading3"/>
      </w:pPr>
      <w:r>
        <w:t xml:space="preserve">5.3 Recommendations for Reduction</w:t>
      </w:r>
    </w:p>
    <w:p>
      <w:pPr>
        <w:pStyle w:val="FirstParagraph"/>
      </w:pPr>
      <w:r>
        <w:t xml:space="preserve">To significantly reduce the Product Carbon Footprint of the Smart Home Sensor (yulrwfzxrs), ivwjmlfghu should focus on the following areas:</w:t>
      </w:r>
    </w:p>
    <w:p>
      <w:pPr>
        <w:numPr>
          <w:ilvl w:val="0"/>
          <w:numId w:val="1015"/>
        </w:numPr>
        <w:pStyle w:val="Compact"/>
      </w:pPr>
      <w:r>
        <w:rPr>
          <w:bCs/>
          <w:b/>
        </w:rPr>
        <w:t xml:space="preserve">Optimize Use Phase Energy Efficiency:</w:t>
      </w:r>
      <w:r>
        <w:t xml:space="preserve"> </w:t>
      </w:r>
      <w:r>
        <w:t xml:space="preserve">Redesign the product for ultra-low power consumption during active and standby modes. Encourage users to connect to renewable energy sources for device charging/power.</w:t>
      </w:r>
    </w:p>
    <w:p>
      <w:pPr>
        <w:numPr>
          <w:ilvl w:val="0"/>
          <w:numId w:val="1015"/>
        </w:numPr>
        <w:pStyle w:val="Compact"/>
      </w:pPr>
      <w:r>
        <w:rPr>
          <w:bCs/>
          <w:b/>
        </w:rPr>
        <w:t xml:space="preserve">Source Lower Carbon Materials:</w:t>
      </w:r>
      <w:r>
        <w:t xml:space="preserve"> </w:t>
      </w:r>
      <w:r>
        <w:t xml:space="preserve">Engage with suppliers to identify and procure materials with lower embodied carbon, focusing on electronic components and batteries. Explore innovative materials and manufacturing processes.</w:t>
      </w:r>
    </w:p>
    <w:p>
      <w:pPr>
        <w:numPr>
          <w:ilvl w:val="0"/>
          <w:numId w:val="1015"/>
        </w:numPr>
        <w:pStyle w:val="Compact"/>
      </w:pPr>
      <w:r>
        <w:rPr>
          <w:bCs/>
          <w:b/>
        </w:rPr>
        <w:t xml:space="preserve">Enhance Circularity:</w:t>
      </w:r>
      <w:r>
        <w:t xml:space="preserve"> </w:t>
      </w:r>
      <w:r>
        <w:t xml:space="preserve">Expand and promote the company-sponsored take-back and recycling program (rsuumsrkjz) to maximize the percentage of materials recovered and recycled (pulqhdtvdq). Investigate closed-loop recycling opportunities for key components.</w:t>
      </w:r>
    </w:p>
    <w:p>
      <w:pPr>
        <w:numPr>
          <w:ilvl w:val="0"/>
          <w:numId w:val="1015"/>
        </w:numPr>
        <w:pStyle w:val="Compact"/>
      </w:pPr>
      <w:r>
        <w:rPr>
          <w:bCs/>
          <w:b/>
        </w:rPr>
        <w:t xml:space="preserve">Green Logistics:</w:t>
      </w:r>
      <w:r>
        <w:t xml:space="preserve"> </w:t>
      </w:r>
      <w:r>
        <w:t xml:space="preserve">Optimize transportation routes and modes, prioritizing lower-emission options like rail or electric vehicles for distribution within Europe. Explore consolidation strategies for last-mile delivery.</w:t>
      </w:r>
    </w:p>
    <w:p>
      <w:pPr>
        <w:numPr>
          <w:ilvl w:val="0"/>
          <w:numId w:val="1015"/>
        </w:numPr>
        <w:pStyle w:val="Compact"/>
      </w:pPr>
      <w:r>
        <w:rPr>
          <w:bCs/>
          <w:b/>
        </w:rPr>
        <w:t xml:space="preserve">Increase Renewable Energy in Manufacturing:</w:t>
      </w:r>
      <w:r>
        <w:t xml:space="preserve"> </w:t>
      </w:r>
      <w:r>
        <w:t xml:space="preserve">Continue efforts to increase the percentage of renewable energy used in production facilities in China, beyond the current 70% (jtvxeeewwv).</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Sensor (yulrwfzxrs)</dc:title>
  <dc:creator/>
  <dc:description>Detailed Product Carbon Footprint (PCF) analysis for ivwjmlfghu\'s Smart Home Sensor (yulrwfzxrs), adhering to GHG Protocol and 2026 LSR Update, performed by Senior Sustainability Consultant qomxdukvhj.</dc:description>
  <dc:language>en</dc:language>
  <cp:keywords/>
  <dcterms:created xsi:type="dcterms:W3CDTF">2026-05-30T16:49:43Z</dcterms:created>
  <dcterms:modified xsi:type="dcterms:W3CDTF">2026-05-30T16:49:43Z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