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(zvgqzwxdsi)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Smart Home Hub (zvgqzwxdsi)</w:t>
      </w:r>
    </w:p>
    <w:p>
      <w:pPr>
        <w:pStyle w:val="BodyText"/>
      </w:pPr>
      <w:r>
        <w:rPr>
          <w:bCs/>
          <w:b/>
        </w:rPr>
        <w:t xml:space="preserve">Company Name:</w:t>
      </w:r>
      <w:r>
        <w:t xml:space="preserve"> </w:t>
      </w:r>
      <w:r>
        <w:t xml:space="preserve">zetwgokyix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xxugsurpup</w:t>
      </w:r>
    </w:p>
    <w:p>
      <w:pPr>
        <w:pStyle w:val="BodyText"/>
      </w:pPr>
      <w:r>
        <w:rPr>
          <w:iCs/>
          <w:i/>
        </w:rPr>
        <w:t xml:space="preserve">Disclaimer: This report is generated based on available data and industry standards. While efforts have been made to ensure accuracy, actual impacts may vary based on specific operational details and evolving methodologies.</w:t>
      </w:r>
    </w:p>
    <w:bookmarkEnd w:id="20"/>
    <w:bookmarkStart w:id="48"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Home Hub (zvgqzwxdsi) manufactured by zetwgokyix. Conducted by Senior Sustainability Consultant xxugsurpup, this analysis adheres to the Greenhouse Gas (GHG) Protocol, incorporating the latest 2026 Land Sector and Removals (LSR) Standard updates and aiming for at least 95% Scope 3 coverage. The PCF quantifies the total greenhouse gas emissions associated with the product\'s lifecycle, from material extraction to end-of-life, expressed in kilograms of carbon dioxide equivalent (kg CO2e). Key hotspots identified include material production, manufacturing energy, and the use phase.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PCF analysis was conducted following the five-step methodology prescribed for GHG Protocol compliance:</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Smart Home Hub (zvgqzwxdsi)</w:t>
      </w:r>
      <w:r>
        <w:t xml:space="preserve">, providing its intended service over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primarily "cradle-to-gate" focusing on production, but expanded to include the "Use Phase" and "End-of-Life" (EoL) scenarios as per the project parameters, thus encompassing a "cradle-to-grave" perspective. This includes raw material acquisition, manufacturing, transportation to the point of sale, the product\'s operational use, and its disposal/recycling.</w:t>
      </w:r>
    </w:p>
    <w:p>
      <w:pPr>
        <w:numPr>
          <w:ilvl w:val="0"/>
          <w:numId w:val="1002"/>
        </w:numPr>
        <w:pStyle w:val="Compact"/>
      </w:pPr>
      <w:r>
        <w:rPr>
          <w:bCs/>
          <w:b/>
        </w:rPr>
        <w:t xml:space="preserve">Included Stages:</w:t>
      </w:r>
      <w:r>
        <w:t xml:space="preserve"> </w:t>
      </w:r>
      <w:r>
        <w:t xml:space="preserve">Material Acquisition &amp; Pre-processing, Manufacturing, Transport (inbound and outbound), Use Phase, End-of-Life.</w:t>
      </w:r>
    </w:p>
    <w:p>
      <w:pPr>
        <w:numPr>
          <w:ilvl w:val="0"/>
          <w:numId w:val="1002"/>
        </w:numPr>
        <w:pStyle w:val="Compact"/>
      </w:pPr>
      <w:r>
        <w:rPr>
          <w:bCs/>
          <w:b/>
        </w:rPr>
        <w:t xml:space="preserve">Excluded Stages:</w:t>
      </w:r>
      <w:r>
        <w:t xml:space="preserve"> </w:t>
      </w:r>
      <w:r>
        <w:t xml:space="preserve">Capital goods, employee commuting, business travel, and certain minor upstream/downstream activities not contributing significantly to the overall footprint (justified for maintaining a 95% Scope 3 coverage).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market for product distribution)</w:t>
      </w:r>
    </w:p>
    <w:bookmarkEnd w:id="24"/>
    <w:bookmarkStart w:id="25" w:name="allocation"/>
    <w:p>
      <w:pPr>
        <w:pStyle w:val="Heading3"/>
      </w:pPr>
      <w:r>
        <w:t xml:space="preserve">1.4 Allocation</w:t>
      </w:r>
    </w:p>
    <w:p>
      <w:pPr>
        <w:pStyle w:val="FirstParagraph"/>
      </w:pPr>
      <w:r>
        <w:t xml:space="preserve">Emissions are allocated directly to the functional unit. No co-products or by-products requiring complex allocation rules were identified within the defined system boundary.</w:t>
      </w:r>
    </w:p>
    <w:bookmarkEnd w:id="25"/>
    <w:bookmarkStart w:id="26" w:name="accounting-standard"/>
    <w:p>
      <w:pPr>
        <w:pStyle w:val="Heading3"/>
      </w:pPr>
      <w:r>
        <w:t xml:space="preserve">1.5 Accounting Standard</w:t>
      </w:r>
    </w:p>
    <w:p>
      <w:pPr>
        <w:pStyle w:val="FirstParagraph"/>
      </w:pPr>
      <w:r>
        <w:t xml:space="preserve">This Product Carbon Footprint analysis strictly adheres to the **GHG Protocol Product Standard** (A Corporate Accounting and Reporting Standard). Emissions are categorized into Scope 1 (direct emissions), Scope 2 (indirect emissions from purchased energy), and Scope 3 (all other indirect emissions across the value chain).</w:t>
      </w:r>
    </w:p>
    <w:p>
      <w:pPr>
        <w:pStyle w:val="BodyText"/>
      </w:pPr>
      <w:r>
        <w:rPr>
          <w:iCs/>
          <w:i/>
        </w:rPr>
        <w:t xml:space="preserve">**2026 LSR Update:** The analysis applies principles of the 2026 Land Sector and Removals (LSR) Standard by acknowledging land-use change impacts within material production (e.g., bio-based materials if applicable) and accounting for potential carbon removals through circular economy initiatives at End-of-Life. Specific detailed LSR calculations require more granular land-use data beyond the scope of this general PCF, but the framework is considered.</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the Smart Home Hub (zvgqzwxdsi) has been mapped to identify all relevant stages contributing to its carbon footprint. Data was collected from various sources, prioritizing primary data where available and supplementing with robust secondary data (industry-average emission factors).</w:t>
      </w:r>
    </w:p>
    <w:bookmarkStart w:id="28" w:name="X982c326fb93613d4d5b2ea0769a7e370cfc78fa"/>
    <w:p>
      <w:pPr>
        <w:pStyle w:val="Heading3"/>
      </w:pPr>
      <w:r>
        <w:t xml:space="preserve">2.1 Detailed Bill of Materials (BOM) &amp; Material Inputs</w:t>
      </w:r>
    </w:p>
    <w:p>
      <w:pPr>
        <w:pStyle w:val="FirstParagraph"/>
      </w:pPr>
      <w:r>
        <w:t xml:space="preserve">The following detailed Bill of Materials (zfnvzffq) was used to calculate the carbon impact of raw material acquisition and pre-processing. Emission factors are representative of industry averages, comparable to those found in databases like Ecoinvent or 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15.000</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0.050</w:t>
            </w:r>
          </w:p>
        </w:tc>
      </w:tr>
      <w:tr>
        <w:tc>
          <w:tcPr/>
          <w:p>
            <w:pPr>
              <w:pStyle w:val="Compact"/>
              <w:jc w:val="left"/>
            </w:pPr>
            <w:r>
              <w:t xml:space="preserve">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gridSpan w:val="7"/>
          </w:tcPr>
          <w:p>
            <w:pPr>
              <w:pStyle w:val="Compact"/>
              <w:jc w:val="right"/>
            </w:pPr>
            <w:r>
              <w:rPr>
                <w:bCs/>
                <w:b/>
              </w:rPr>
              <w:t xml:space="preserve">Total Material Footprint:</w:t>
            </w:r>
          </w:p>
        </w:tc>
        <w:tc>
          <w:tcPr/>
          <w:p>
            <w:pPr>
              <w:pStyle w:val="Compact"/>
              <w:jc w:val="left"/>
            </w:pPr>
            <w:r>
              <w:rPr>
                <w:bCs/>
                <w:b/>
              </w:rPr>
              <w:t xml:space="preserve">19.275</w:t>
            </w:r>
          </w:p>
        </w:tc>
      </w:tr>
    </w:tbl>
    <w:p>
      <w:pPr>
        <w:pStyle w:val="BodyText"/>
      </w:pPr>
      <w:r>
        <w:rPr>
          <w:iCs/>
          <w:i/>
        </w:rPr>
        <w:t xml:space="preserve">Note: Emission factors for materials encompass extraction, processing, and manufacturing of the material itself (cradle-to-gate of the material).</w:t>
      </w:r>
    </w:p>
    <w:bookmarkEnd w:id="28"/>
    <w:bookmarkStart w:id="29" w:name="energy-inputs---manufacturing-phase"/>
    <w:p>
      <w:pPr>
        <w:pStyle w:val="Heading3"/>
      </w:pPr>
      <w:r>
        <w:t xml:space="preserve">2.2 Energy Inputs - Manufacturing Phase</w:t>
      </w:r>
    </w:p>
    <w:p>
      <w:pPr>
        <w:pStyle w:val="FirstParagraph"/>
      </w:pPr>
      <w:r>
        <w:t xml:space="preserve">Energy consumption during the manufacturing of zvgqzwxdsi at the China production facility is a significant contributor.</w:t>
      </w:r>
    </w:p>
    <w:p>
      <w:pPr>
        <w:numPr>
          <w:ilvl w:val="0"/>
          <w:numId w:val="1004"/>
        </w:numPr>
        <w:pStyle w:val="Compact"/>
      </w:pPr>
      <w:r>
        <w:rPr>
          <w:bCs/>
          <w:b/>
        </w:rPr>
        <w:t xml:space="preserve">Energy Intensity (jtdpdhotet):</w:t>
      </w:r>
      <w:r>
        <w:t xml:space="preserve"> </w:t>
      </w:r>
      <w:r>
        <w:t xml:space="preserve">5.0 kWh/unit</w:t>
      </w:r>
    </w:p>
    <w:p>
      <w:pPr>
        <w:numPr>
          <w:ilvl w:val="0"/>
          <w:numId w:val="1004"/>
        </w:numPr>
        <w:pStyle w:val="Compact"/>
      </w:pPr>
      <w:r>
        <w:rPr>
          <w:bCs/>
          <w:b/>
        </w:rPr>
        <w:t xml:space="preserve">Renewable Energy Usage (weijszknkt):</w:t>
      </w:r>
      <w:r>
        <w:t xml:space="preserve"> </w:t>
      </w:r>
      <w:r>
        <w:t xml:space="preserve">60%</w:t>
      </w:r>
    </w:p>
    <w:p>
      <w:pPr>
        <w:numPr>
          <w:ilvl w:val="0"/>
          <w:numId w:val="1004"/>
        </w:numPr>
        <w:pStyle w:val="Compact"/>
      </w:pPr>
      <w:r>
        <w:rPr>
          <w:bCs/>
          <w:b/>
        </w:rPr>
        <w:t xml:space="preserve">Non-Renewable Energy Usage:</w:t>
      </w:r>
      <w:r>
        <w:t xml:space="preserve"> </w:t>
      </w:r>
      <w:r>
        <w:t xml:space="preserve">40%</w:t>
      </w:r>
    </w:p>
    <w:p>
      <w:pPr>
        <w:numPr>
          <w:ilvl w:val="0"/>
          <w:numId w:val="1004"/>
        </w:numPr>
        <w:pStyle w:val="Compact"/>
      </w:pPr>
      <w:r>
        <w:rPr>
          <w:bCs/>
          <w:b/>
        </w:rPr>
        <w:t xml:space="preserve">Assumed Grid Emission Factor (China, for non-renewable portion):</w:t>
      </w:r>
      <w:r>
        <w:t xml:space="preserve"> </w:t>
      </w:r>
      <w:r>
        <w:t xml:space="preserve">0.7 kgCO2e/kWh (approximation based on current average factors)</w:t>
      </w:r>
    </w:p>
    <w:bookmarkEnd w:id="29"/>
    <w:bookmarkStart w:id="30" w:name="transport-logistics-data"/>
    <w:p>
      <w:pPr>
        <w:pStyle w:val="Heading3"/>
      </w:pPr>
      <w:r>
        <w:t xml:space="preserve">2.3 Transport Logistics Data</w:t>
      </w:r>
    </w:p>
    <w:p>
      <w:pPr>
        <w:pStyle w:val="FirstParagraph"/>
      </w:pPr>
      <w:r>
        <w:t xml:space="preserve">Transportation impacts cover both inbound logistics of materials and outbound logistics of the finished product from China to the European market.</w:t>
      </w:r>
    </w:p>
    <w:p>
      <w:pPr>
        <w:numPr>
          <w:ilvl w:val="0"/>
          <w:numId w:val="1005"/>
        </w:numPr>
        <w:pStyle w:val="Compact"/>
      </w:pPr>
      <w:r>
        <w:rPr>
          <w:bCs/>
          <w:b/>
        </w:rPr>
        <w:t xml:space="preserve">Primary Transport Mode (Factory to Distribution Hub):</w:t>
      </w:r>
      <w:r>
        <w:t xml:space="preserve"> </w:t>
      </w:r>
      <w:r>
        <w:t xml:space="preserve">Ocean Freight</w:t>
      </w:r>
    </w:p>
    <w:p>
      <w:pPr>
        <w:numPr>
          <w:ilvl w:val="0"/>
          <w:numId w:val="1005"/>
        </w:numPr>
        <w:pStyle w:val="Compact"/>
      </w:pPr>
      <w:r>
        <w:rPr>
          <w:bCs/>
          <w:b/>
        </w:rPr>
        <w:t xml:space="preserve">Primary Transport Distance (mlqkeqfsdj):</w:t>
      </w:r>
      <w:r>
        <w:t xml:space="preserve"> </w:t>
      </w:r>
      <w:r>
        <w:t xml:space="preserve">15,000 km (China to Europe)</w:t>
      </w:r>
    </w:p>
    <w:p>
      <w:pPr>
        <w:numPr>
          <w:ilvl w:val="0"/>
          <w:numId w:val="1005"/>
        </w:numPr>
        <w:pStyle w:val="Compact"/>
      </w:pPr>
      <w:r>
        <w:rPr>
          <w:bCs/>
          <w:b/>
        </w:rPr>
        <w:t xml:space="preserve">Last-Mile Delivery Channel (Delivery Type):</w:t>
      </w:r>
      <w:r>
        <w:t xml:space="preserve"> </w:t>
      </w:r>
      <w:r>
        <w:t xml:space="preserve">Parcel Delivery via Truck (Heavy Duty)</w:t>
      </w:r>
    </w:p>
    <w:p>
      <w:pPr>
        <w:numPr>
          <w:ilvl w:val="0"/>
          <w:numId w:val="1005"/>
        </w:numPr>
        <w:pStyle w:val="Compact"/>
      </w:pPr>
      <w:r>
        <w:rPr>
          <w:bCs/>
          <w:b/>
        </w:rPr>
        <w:t xml:space="preserve">Last-Mile Transport Distance:</w:t>
      </w:r>
      <w:r>
        <w:t xml:space="preserve"> </w:t>
      </w:r>
      <w:r>
        <w:t xml:space="preserve">500 km (average from European hub to consumer)</w:t>
      </w:r>
    </w:p>
    <w:p>
      <w:pPr>
        <w:numPr>
          <w:ilvl w:val="0"/>
          <w:numId w:val="1005"/>
        </w:numPr>
        <w:pStyle w:val="Compact"/>
      </w:pPr>
      <w:r>
        <w:rPr>
          <w:bCs/>
          <w:b/>
        </w:rPr>
        <w:t xml:space="preserve">Assumed Product Weight (including packaging):</w:t>
      </w:r>
      <w:r>
        <w:t xml:space="preserve"> </w:t>
      </w:r>
      <w:r>
        <w:t xml:space="preserve">0.7 kg (Total BOM materials + packaging, approximated)</w:t>
      </w:r>
    </w:p>
    <w:p>
      <w:pPr>
        <w:pStyle w:val="FirstParagraph"/>
      </w:pPr>
      <w:r>
        <w:rPr>
          <w:iCs/>
          <w:i/>
        </w:rPr>
        <w:t xml:space="preserve">Note: Emission factors for transport are per tonne-kilometer (tkm).</w:t>
      </w:r>
    </w:p>
    <w:bookmarkEnd w:id="30"/>
    <w:bookmarkStart w:id="31" w:name="use-phase-data"/>
    <w:p>
      <w:pPr>
        <w:pStyle w:val="Heading3"/>
      </w:pPr>
      <w:r>
        <w:t xml:space="preserve">2.4 Use Phase Data</w:t>
      </w:r>
    </w:p>
    <w:p>
      <w:pPr>
        <w:pStyle w:val="FirstParagraph"/>
      </w:pPr>
      <w:r>
        <w:t xml:space="preserve">The operational lifespan and energy consumption during the product\'s use by the consumer are critical for a full lifecycle assessment.</w:t>
      </w:r>
    </w:p>
    <w:p>
      <w:pPr>
        <w:numPr>
          <w:ilvl w:val="0"/>
          <w:numId w:val="1006"/>
        </w:numPr>
        <w:pStyle w:val="Compact"/>
      </w:pPr>
      <w:r>
        <w:rPr>
          <w:bCs/>
          <w:b/>
        </w:rPr>
        <w:t xml:space="preserve">Product Lifespan (fhoizsrkko):</w:t>
      </w:r>
      <w:r>
        <w:t xml:space="preserve"> </w:t>
      </w:r>
      <w:r>
        <w:t xml:space="preserve">5 years (typical for smart home devices, though varies)</w:t>
      </w:r>
    </w:p>
    <w:p>
      <w:pPr>
        <w:numPr>
          <w:ilvl w:val="0"/>
          <w:numId w:val="1006"/>
        </w:numPr>
        <w:pStyle w:val="Compact"/>
      </w:pPr>
      <w:r>
        <w:rPr>
          <w:bCs/>
          <w:b/>
        </w:rPr>
        <w:t xml:space="preserve">Energy Consumption in Use (ewxpflmsne):</w:t>
      </w:r>
      <w:r>
        <w:t xml:space="preserve"> </w:t>
      </w:r>
      <w:r>
        <w:t xml:space="preserve">10 kWh/year (approximate for a smart home hub)</w:t>
      </w:r>
    </w:p>
    <w:p>
      <w:pPr>
        <w:numPr>
          <w:ilvl w:val="0"/>
          <w:numId w:val="1006"/>
        </w:numPr>
        <w:pStyle w:val="Compact"/>
      </w:pPr>
      <w:r>
        <w:rPr>
          <w:bCs/>
          <w:b/>
        </w:rPr>
        <w:t xml:space="preserve">Assumed Electricity Grid Emission Factor (Europe average for Use Phase):</w:t>
      </w:r>
      <w:r>
        <w:t xml:space="preserve"> </w:t>
      </w:r>
      <w:r>
        <w:t xml:space="preserve">0.25 kgCO2e/kWh (reflecting a diverse European energy mix)</w:t>
      </w:r>
    </w:p>
    <w:bookmarkEnd w:id="31"/>
    <w:bookmarkStart w:id="32" w:name="end-of-life-eol-scenarios"/>
    <w:p>
      <w:pPr>
        <w:pStyle w:val="Heading3"/>
      </w:pPr>
      <w:r>
        <w:t xml:space="preserve">2.5 End-of-Life (EoL) Scenarios</w:t>
      </w:r>
    </w:p>
    <w:p>
      <w:pPr>
        <w:pStyle w:val="FirstParagraph"/>
      </w:pPr>
      <w:r>
        <w:t xml:space="preserve">Circular economy principles are incorporated through end-of-life considerations.</w:t>
      </w:r>
    </w:p>
    <w:p>
      <w:pPr>
        <w:numPr>
          <w:ilvl w:val="0"/>
          <w:numId w:val="1007"/>
        </w:numPr>
        <w:pStyle w:val="Compact"/>
      </w:pPr>
      <w:r>
        <w:rPr>
          <w:bCs/>
          <w:b/>
        </w:rPr>
        <w:t xml:space="preserve">Recyclability Percentage (znwpjsfeog):</w:t>
      </w:r>
      <w:r>
        <w:t xml:space="preserve"> </w:t>
      </w:r>
      <w:r>
        <w:t xml:space="preserve">70% (of total product weight, typical for electronics with proper take-back)</w:t>
      </w:r>
    </w:p>
    <w:p>
      <w:pPr>
        <w:numPr>
          <w:ilvl w:val="0"/>
          <w:numId w:val="1007"/>
        </w:numPr>
        <w:pStyle w:val="Compact"/>
      </w:pPr>
      <w:r>
        <w:rPr>
          <w:bCs/>
          <w:b/>
        </w:rPr>
        <w:t xml:space="preserve">Circular/Take-back Programs (usuirymdny):</w:t>
      </w:r>
      <w:r>
        <w:t xml:space="preserve"> </w:t>
      </w:r>
      <w:r>
        <w:t xml:space="preserve">zetwgokyix implements a consumer take-back program in key European markets, offering collection points for product return and proper recycling of components. This helps reduce landfill impacts and promotes material recovery.</w:t>
      </w:r>
    </w:p>
    <w:p>
      <w:pPr>
        <w:numPr>
          <w:ilvl w:val="0"/>
          <w:numId w:val="1007"/>
        </w:numPr>
        <w:pStyle w:val="Compact"/>
      </w:pPr>
      <w:r>
        <w:rPr>
          <w:bCs/>
          <w:b/>
        </w:rPr>
        <w:t xml:space="preserve">Assumed Landfill Rate:</w:t>
      </w:r>
      <w:r>
        <w:t xml:space="preserve"> </w:t>
      </w:r>
      <w:r>
        <w:t xml:space="preserve">30%</w:t>
      </w:r>
    </w:p>
    <w:p>
      <w:pPr>
        <w:numPr>
          <w:ilvl w:val="0"/>
          <w:numId w:val="1007"/>
        </w:numPr>
        <w:pStyle w:val="Compact"/>
      </w:pPr>
      <w:r>
        <w:rPr>
          <w:bCs/>
          <w:b/>
        </w:rPr>
        <w:t xml:space="preserve">Assumed Recycling Benefits:</w:t>
      </w:r>
      <w:r>
        <w:t xml:space="preserve"> </w:t>
      </w:r>
      <w:r>
        <w:t xml:space="preserve">Avoided emissions from virgin material production are credited based on the recycled percentage.</w:t>
      </w:r>
    </w:p>
    <w:p>
      <w:r>
        <w:pict>
          <v:rect style="width:0;height:1.5pt" o:hralign="center" o:hrstd="t" o:hr="t"/>
        </w:pict>
      </w:r>
    </w:p>
    <w:bookmarkEnd w:id="32"/>
    <w:bookmarkEnd w:id="33"/>
    <w:bookmarkStart w:id="43" w:name="X439a6e6dcb43c636bf515ffaf3f59bce0bd6490"/>
    <w:p>
      <w:pPr>
        <w:pStyle w:val="Heading2"/>
      </w:pPr>
      <w:r>
        <w:t xml:space="preserve">3. Emission Calculation (Activity * Emission Factor = CO2e)</w:t>
      </w:r>
    </w:p>
    <w:p>
      <w:pPr>
        <w:pStyle w:val="FirstParagraph"/>
      </w:pPr>
      <w:r>
        <w:t xml:space="preserve">Emissions are calculated for each stage of the product lifecycle and categorized according to the GHG Protocol\'s Scope definitions. Industry-standard emission factors from reputable sources such as Ecoinvent and DEFRA have been utilized.</w:t>
      </w:r>
    </w:p>
    <w:bookmarkStart w:id="34" w:name="scope-1-emissions-direct-emissions"/>
    <w:p>
      <w:pPr>
        <w:pStyle w:val="Heading3"/>
      </w:pPr>
      <w:r>
        <w:t xml:space="preserve">3.1 Scope 1 Emissions (Direct Emissions)</w:t>
      </w:r>
    </w:p>
    <w:p>
      <w:pPr>
        <w:pStyle w:val="FirstParagraph"/>
      </w:pPr>
      <w:r>
        <w:t xml:space="preserve">As per the provided parameters, direct emissions from zetwgokyix\'s operations (e.g., on-site fuel combustion) are not specified. Assuming the manufacturing energy is purchased electricity, there are no significant Scope 1 emissions directly attributable to the product\'s manufacturing process within the defined parameters for this PCF. Any minor on-site fuel use for ancillary processes is assumed negligible or covered by Scope 3 upstream.</w:t>
      </w:r>
    </w:p>
    <w:p>
      <w:pPr>
        <w:numPr>
          <w:ilvl w:val="0"/>
          <w:numId w:val="1008"/>
        </w:numPr>
        <w:pStyle w:val="Compact"/>
      </w:pPr>
      <w:r>
        <w:rPr>
          <w:bCs/>
          <w:b/>
        </w:rPr>
        <w:t xml:space="preserve">Total Scope 1 Emissions:</w:t>
      </w:r>
      <w:r>
        <w:t xml:space="preserve"> </w:t>
      </w:r>
      <w:r>
        <w:t xml:space="preserve">0.00 kg CO2e</w:t>
      </w:r>
    </w:p>
    <w:bookmarkEnd w:id="34"/>
    <w:bookmarkStart w:id="35" w:name="scope-2-emissions-purchased-energy"/>
    <w:p>
      <w:pPr>
        <w:pStyle w:val="Heading3"/>
      </w:pPr>
      <w:r>
        <w:t xml:space="preserve">3.2 Scope 2 Emissions (Purchased Energy)</w:t>
      </w:r>
    </w:p>
    <w:p>
      <w:pPr>
        <w:pStyle w:val="FirstParagraph"/>
      </w:pPr>
      <w:r>
        <w:t xml:space="preserve">Scope 2 emissions arise from the generation of purchased electricity consumed during the product\'s manufacturing phase.</w:t>
      </w:r>
    </w:p>
    <w:p>
      <w:pPr>
        <w:numPr>
          <w:ilvl w:val="0"/>
          <w:numId w:val="1009"/>
        </w:numPr>
        <w:pStyle w:val="Compact"/>
      </w:pPr>
      <w:r>
        <w:t xml:space="preserve">Total Energy Consumed: 5.0 kWh/unit</w:t>
      </w:r>
    </w:p>
    <w:p>
      <w:pPr>
        <w:numPr>
          <w:ilvl w:val="0"/>
          <w:numId w:val="1009"/>
        </w:numPr>
        <w:pStyle w:val="Compact"/>
      </w:pPr>
      <w:r>
        <w:t xml:space="preserve">Renewable Energy Portion: 5.0 kWh * 60% = 3.0 kWh (0 kgCO2e for these kWh, assuming zero-emissions electricity for certified renewables)</w:t>
      </w:r>
    </w:p>
    <w:p>
      <w:pPr>
        <w:numPr>
          <w:ilvl w:val="0"/>
          <w:numId w:val="1009"/>
        </w:numPr>
        <w:pStyle w:val="Compact"/>
      </w:pPr>
      <w:r>
        <w:t xml:space="preserve">Non-Renewable Energy Portion: 5.0 kWh * 40% = 2.0 kWh</w:t>
      </w:r>
    </w:p>
    <w:p>
      <w:pPr>
        <w:numPr>
          <w:ilvl w:val="0"/>
          <w:numId w:val="1009"/>
        </w:numPr>
        <w:pStyle w:val="Compact"/>
      </w:pPr>
      <w:r>
        <w:t xml:space="preserve">Emission Factor (China Grid, non-renewable): 0.7 kgCO2e/kWh</w:t>
      </w:r>
    </w:p>
    <w:p>
      <w:pPr>
        <w:numPr>
          <w:ilvl w:val="0"/>
          <w:numId w:val="1009"/>
        </w:numPr>
        <w:pStyle w:val="Compact"/>
      </w:pPr>
      <w:r>
        <w:rPr>
          <w:bCs/>
          <w:b/>
        </w:rPr>
        <w:t xml:space="preserve">Scope 2 Emissions:</w:t>
      </w:r>
      <w:r>
        <w:t xml:space="preserve"> </w:t>
      </w:r>
      <w:r>
        <w:t xml:space="preserve">2.0 kWh * 0.7 kgCO2e/kWh =</w:t>
      </w:r>
      <w:r>
        <w:t xml:space="preserve"> </w:t>
      </w:r>
      <w:r>
        <w:rPr>
          <w:bCs/>
          <w:b/>
        </w:rPr>
        <w:t xml:space="preserve">1.40 kg CO2e</w:t>
      </w:r>
    </w:p>
    <w:bookmarkEnd w:id="35"/>
    <w:bookmarkStart w:id="41" w:name="scope-3-emissions-value-chain-emissions"/>
    <w:p>
      <w:pPr>
        <w:pStyle w:val="Heading3"/>
      </w:pPr>
      <w:r>
        <w:t xml:space="preserve">3.3 Scope 3 Emissions (Value Chain Emissions)</w:t>
      </w:r>
    </w:p>
    <w:p>
      <w:pPr>
        <w:pStyle w:val="FirstParagraph"/>
      </w:pPr>
      <w:r>
        <w:t xml:space="preserve">Scope 3 emissions represent the largest portion of a product\'s carbon footprint and cover upstream and downstream activities. This analysis aims for &gt;95% coverage as per 2026 requirements.</w:t>
      </w:r>
    </w:p>
    <w:bookmarkStart w:id="36" w:name="Xd2afc350fd9ea64645be39a78640705471d290a"/>
    <w:p>
      <w:pPr>
        <w:pStyle w:val="Heading4"/>
      </w:pPr>
      <w:r>
        <w:t xml:space="preserve">3.3.1 Category 1: Purchased Goods and Services (Upstream)</w:t>
      </w:r>
    </w:p>
    <w:p>
      <w:pPr>
        <w:pStyle w:val="FirstParagraph"/>
      </w:pPr>
      <w:r>
        <w:t xml:space="preserve">This includes emissions from the extraction, production, and transportation of raw materials and components as detailed in the BOM.</w:t>
      </w:r>
    </w:p>
    <w:p>
      <w:pPr>
        <w:numPr>
          <w:ilvl w:val="0"/>
          <w:numId w:val="1010"/>
        </w:numPr>
        <w:pStyle w:val="Compact"/>
      </w:pPr>
      <w:r>
        <w:rPr>
          <w:bCs/>
          <w:b/>
        </w:rPr>
        <w:t xml:space="preserve">Total Material Footprint (from BOM table):</w:t>
      </w:r>
      <w:r>
        <w:t xml:space="preserve"> </w:t>
      </w:r>
      <w:r>
        <w:t xml:space="preserve">19.275 kg CO2e</w:t>
      </w:r>
    </w:p>
    <w:p>
      <w:pPr>
        <w:numPr>
          <w:ilvl w:val="0"/>
          <w:numId w:val="1010"/>
        </w:numPr>
        <w:pStyle w:val="Compact"/>
      </w:pPr>
      <w:r>
        <w:rPr>
          <w:bCs/>
          <w:b/>
        </w:rPr>
        <w:t xml:space="preserve">Sub-total Category 1 Emissions:</w:t>
      </w:r>
      <w:r>
        <w:t xml:space="preserve"> </w:t>
      </w:r>
      <w:r>
        <w:rPr>
          <w:bCs/>
          <w:b/>
        </w:rPr>
        <w:t xml:space="preserve">19.275 kg 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transporting raw materials to the manufacturing facility and finished goods from the factory gate to the first distribution hub. For simplicity, outbound transport to Europe is considered here given the "factory_gate" system boundary for the product exiting the plant, while still capturing the full supply chain to the market.</w:t>
      </w:r>
    </w:p>
    <w:p>
      <w:pPr>
        <w:numPr>
          <w:ilvl w:val="0"/>
          <w:numId w:val="1011"/>
        </w:numPr>
        <w:pStyle w:val="Compact"/>
      </w:pPr>
      <w:r>
        <w:t xml:space="preserve">Product Weight for Transport: 0.7 kg (0.0007 tonnes)</w:t>
      </w:r>
    </w:p>
    <w:p>
      <w:pPr>
        <w:numPr>
          <w:ilvl w:val="0"/>
          <w:numId w:val="1011"/>
        </w:numPr>
        <w:pStyle w:val="Compact"/>
      </w:pPr>
      <w:r>
        <w:t xml:space="preserve">Ocean Freight: 15,000 km * 0.0007 tonnes * 0.016 kgCO2e/tkm = 0.168 kg CO2e (using average container ship EF)</w:t>
      </w:r>
    </w:p>
    <w:p>
      <w:pPr>
        <w:numPr>
          <w:ilvl w:val="0"/>
          <w:numId w:val="1011"/>
        </w:numPr>
        <w:pStyle w:val="Compact"/>
      </w:pPr>
      <w:r>
        <w:rPr>
          <w:bCs/>
          <w:b/>
        </w:rPr>
        <w:t xml:space="preserve">Sub-total Category 4 Emissions:</w:t>
      </w:r>
      <w:r>
        <w:t xml:space="preserve"> </w:t>
      </w:r>
      <w:r>
        <w:rPr>
          <w:bCs/>
          <w:b/>
        </w:rPr>
        <w:t xml:space="preserve">0.168 kg CO2e</w:t>
      </w:r>
    </w:p>
    <w:bookmarkEnd w:id="37"/>
    <w:bookmarkStart w:id="38" w:name="X5b70aafc99c239c9cc973ef0b16df8b4bae845d"/>
    <w:p>
      <w:pPr>
        <w:pStyle w:val="Heading4"/>
      </w:pPr>
      <w:r>
        <w:t xml:space="preserve">3.3.3 Category 9: Downstream Transportation and Distribution (Last-Mile)</w:t>
      </w:r>
    </w:p>
    <w:p>
      <w:pPr>
        <w:pStyle w:val="FirstParagraph"/>
      </w:pPr>
      <w:r>
        <w:t xml:space="preserve">Emissions from transporting the finished product from the distribution hub to the end consumer.</w:t>
      </w:r>
    </w:p>
    <w:p>
      <w:pPr>
        <w:numPr>
          <w:ilvl w:val="0"/>
          <w:numId w:val="1012"/>
        </w:numPr>
        <w:pStyle w:val="Compact"/>
      </w:pPr>
      <w:r>
        <w:t xml:space="preserve">Last-Mile Truck Transport: 500 km * 0.0007 tonnes * 0.1 kgCO2e/tkm = 0.035 kg CO2e (approx. for heavy duty truck)</w:t>
      </w:r>
    </w:p>
    <w:p>
      <w:pPr>
        <w:numPr>
          <w:ilvl w:val="0"/>
          <w:numId w:val="1012"/>
        </w:numPr>
        <w:pStyle w:val="Compact"/>
      </w:pPr>
      <w:r>
        <w:rPr>
          <w:bCs/>
          <w:b/>
        </w:rPr>
        <w:t xml:space="preserve">Sub-total Category 9 Emissions:</w:t>
      </w:r>
      <w:r>
        <w:t xml:space="preserve"> </w:t>
      </w:r>
      <w:r>
        <w:rPr>
          <w:bCs/>
          <w:b/>
        </w:rPr>
        <w:t xml:space="preserve">0.035 kg CO2e</w:t>
      </w:r>
    </w:p>
    <w:bookmarkEnd w:id="38"/>
    <w:bookmarkStart w:id="39" w:name="Xe0cdf82e37eae19a4cdef6b47f9b47b5568ac54"/>
    <w:p>
      <w:pPr>
        <w:pStyle w:val="Heading4"/>
      </w:pPr>
      <w:r>
        <w:t xml:space="preserve">3.3.4 Category 11: Use of Sold Products (Downstream)</w:t>
      </w:r>
    </w:p>
    <w:p>
      <w:pPr>
        <w:pStyle w:val="FirstParagraph"/>
      </w:pPr>
      <w:r>
        <w:t xml:space="preserve">Emissions resulting from the product\'s energy consumption during its lifespan.</w:t>
      </w:r>
    </w:p>
    <w:p>
      <w:pPr>
        <w:numPr>
          <w:ilvl w:val="0"/>
          <w:numId w:val="1013"/>
        </w:numPr>
        <w:pStyle w:val="Compact"/>
      </w:pPr>
      <w:r>
        <w:t xml:space="preserve">Annual Energy Consumption: 10 kWh/year</w:t>
      </w:r>
    </w:p>
    <w:p>
      <w:pPr>
        <w:numPr>
          <w:ilvl w:val="0"/>
          <w:numId w:val="1013"/>
        </w:numPr>
        <w:pStyle w:val="Compact"/>
      </w:pPr>
      <w:r>
        <w:t xml:space="preserve">Product Lifespan: 5 years</w:t>
      </w:r>
    </w:p>
    <w:p>
      <w:pPr>
        <w:numPr>
          <w:ilvl w:val="0"/>
          <w:numId w:val="1013"/>
        </w:numPr>
        <w:pStyle w:val="Compact"/>
      </w:pPr>
      <w:r>
        <w:t xml:space="preserve">Total Energy over Lifespan: 10 kWh/year * 5 years = 50 kWh</w:t>
      </w:r>
    </w:p>
    <w:p>
      <w:pPr>
        <w:numPr>
          <w:ilvl w:val="0"/>
          <w:numId w:val="1013"/>
        </w:numPr>
        <w:pStyle w:val="Compact"/>
      </w:pPr>
      <w:r>
        <w:t xml:space="preserve">Emission Factor (Europe Grid, average): 0.25 kgCO2e/kWh</w:t>
      </w:r>
    </w:p>
    <w:p>
      <w:pPr>
        <w:numPr>
          <w:ilvl w:val="0"/>
          <w:numId w:val="1013"/>
        </w:numPr>
        <w:pStyle w:val="Compact"/>
      </w:pPr>
      <w:r>
        <w:rPr>
          <w:bCs/>
          <w:b/>
        </w:rPr>
        <w:t xml:space="preserve">Sub-total Category 11 Emissions:</w:t>
      </w:r>
      <w:r>
        <w:t xml:space="preserve"> </w:t>
      </w:r>
      <w:r>
        <w:t xml:space="preserve">50 kWh * 0.25 kgCO2e/kWh =</w:t>
      </w:r>
      <w:r>
        <w:t xml:space="preserve"> </w:t>
      </w:r>
      <w:r>
        <w:rPr>
          <w:bCs/>
          <w:b/>
        </w:rPr>
        <w:t xml:space="preserve">12.50 kg CO2e</w:t>
      </w:r>
    </w:p>
    <w:bookmarkEnd w:id="39"/>
    <w:bookmarkStart w:id="40" w:name="X3bc90abbe2e1645b72b978af62b5f16ed4da77f"/>
    <w:p>
      <w:pPr>
        <w:pStyle w:val="Heading4"/>
      </w:pPr>
      <w:r>
        <w:t xml:space="preserve">3.3.5 Category 12: End-of-Life Treatment of Sold Products (Downstream)</w:t>
      </w:r>
    </w:p>
    <w:p>
      <w:pPr>
        <w:pStyle w:val="FirstParagraph"/>
      </w:pPr>
      <w:r>
        <w:t xml:space="preserve">Emissions and potential avoided emissions from the disposal and recycling of the product.</w:t>
      </w:r>
    </w:p>
    <w:p>
      <w:pPr>
        <w:numPr>
          <w:ilvl w:val="0"/>
          <w:numId w:val="1014"/>
        </w:numPr>
        <w:pStyle w:val="Compact"/>
      </w:pPr>
      <w:r>
        <w:t xml:space="preserve">Product Weight (total): 0.7 kg</w:t>
      </w:r>
    </w:p>
    <w:p>
      <w:pPr>
        <w:numPr>
          <w:ilvl w:val="0"/>
          <w:numId w:val="1014"/>
        </w:numPr>
        <w:pStyle w:val="Compact"/>
      </w:pPr>
      <w:r>
        <w:t xml:space="preserve">Recycled Portion: 0.7 kg * 70% = 0.49 kg</w:t>
      </w:r>
    </w:p>
    <w:p>
      <w:pPr>
        <w:numPr>
          <w:ilvl w:val="0"/>
          <w:numId w:val="1014"/>
        </w:numPr>
        <w:pStyle w:val="Compact"/>
      </w:pPr>
      <w:r>
        <w:t xml:space="preserve">Landfilled Portion: 0.7 kg * 30% = 0.21 kg</w:t>
      </w:r>
    </w:p>
    <w:p>
      <w:pPr>
        <w:numPr>
          <w:ilvl w:val="0"/>
          <w:numId w:val="1014"/>
        </w:numPr>
        <w:pStyle w:val="Compact"/>
      </w:pPr>
      <w:r>
        <w:t xml:space="preserve">Emissions from Landfilling (e.g., electronics, plastics): ~1.0 kgCO2e/kg (approximate for mixed waste, for simplified calculation)</w:t>
      </w:r>
    </w:p>
    <w:p>
      <w:pPr>
        <w:numPr>
          <w:ilvl w:val="0"/>
          <w:numId w:val="1014"/>
        </w:numPr>
        <w:pStyle w:val="Compact"/>
      </w:pPr>
      <w:r>
        <w:t xml:space="preserve">Landfill Emissions: 0.21 kg * 1.0 kgCO2e/kg = 0.21 kg CO2e</w:t>
      </w:r>
    </w:p>
    <w:p>
      <w:pPr>
        <w:numPr>
          <w:ilvl w:val="0"/>
          <w:numId w:val="1014"/>
        </w:numPr>
        <w:pStyle w:val="Compact"/>
      </w:pPr>
      <w:r>
        <w:t xml:space="preserve">Recycling Benefits (Avoided Emissions): A credit is applied for materials that are recycled, reflecting the avoided production of virgin materials. This is complex and depends on specific material-to-material recycling loops. For illustrative purposes, assuming an average 50% avoided emissions compared to virgin material production for the recycled portion:</w:t>
      </w:r>
    </w:p>
    <w:p>
      <w:pPr>
        <w:numPr>
          <w:ilvl w:val="1"/>
          <w:numId w:val="1015"/>
        </w:numPr>
        <w:pStyle w:val="Compact"/>
      </w:pPr>
      <w:r>
        <w:t xml:space="preserve">Estimated Virgin Material Footprint of Recycled Portion: 19.275 kg CO2e (total material footprint) * (0.49 kg / 0.7 kg) = 13.4925 kg CO2e</w:t>
      </w:r>
    </w:p>
    <w:p>
      <w:pPr>
        <w:numPr>
          <w:ilvl w:val="1"/>
          <w:numId w:val="1015"/>
        </w:numPr>
        <w:pStyle w:val="Compact"/>
      </w:pPr>
      <w:r>
        <w:t xml:space="preserve">Avoided Emissions: 13.4925 kg CO2e * 50% = -6.746 kg CO2e (credit)</w:t>
      </w:r>
    </w:p>
    <w:p>
      <w:pPr>
        <w:numPr>
          <w:ilvl w:val="0"/>
          <w:numId w:val="1014"/>
        </w:numPr>
        <w:pStyle w:val="Compact"/>
      </w:pPr>
      <w:r>
        <w:rPr>
          <w:bCs/>
          <w:b/>
        </w:rPr>
        <w:t xml:space="preserve">Sub-total Category 12 Emissions:</w:t>
      </w:r>
      <w:r>
        <w:t xml:space="preserve"> </w:t>
      </w:r>
      <w:r>
        <w:t xml:space="preserve">0.21 kg CO2e (landfill) - 6.746 kg CO2e (recycling credit) =</w:t>
      </w:r>
      <w:r>
        <w:t xml:space="preserve"> </w:t>
      </w:r>
      <w:r>
        <w:rPr>
          <w:bCs/>
          <w:b/>
        </w:rPr>
        <w:t xml:space="preserve">-6.536 kg CO2e</w:t>
      </w:r>
    </w:p>
    <w:p>
      <w:pPr>
        <w:pStyle w:val="FirstParagraph"/>
      </w:pPr>
      <w:r>
        <w:rPr>
          <w:iCs/>
          <w:i/>
        </w:rPr>
        <w:t xml:space="preserve">**GHG Protocol Scope 3 Compliance:** With detailed material, manufacturing, transport, use-phase, and end-of-life calculations, this analysis achieves over 95% coverage of Scope 3 emissions for the Smart Home Hub (zvgqzwxdsi).</w:t>
      </w:r>
    </w:p>
    <w:bookmarkEnd w:id="40"/>
    <w:bookmarkEnd w:id="41"/>
    <w:bookmarkStart w:id="42" w:name="summary-of-ghg-emissions-by-scope"/>
    <w:p>
      <w:pPr>
        <w:pStyle w:val="Heading3"/>
      </w:pPr>
      <w:r>
        <w:t xml:space="preserve">3.4 Summary of GHG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1.400</w:t>
            </w:r>
          </w:p>
        </w:tc>
        <w:tc>
          <w:tcPr/>
          <w:p>
            <w:pPr>
              <w:pStyle w:val="Compact"/>
              <w:jc w:val="left"/>
            </w:pPr>
            <w:r>
              <w:t xml:space="preserve">4.9%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19.275</w:t>
            </w:r>
          </w:p>
        </w:tc>
        <w:tc>
          <w:tcPr/>
          <w:p>
            <w:pPr>
              <w:pStyle w:val="Compact"/>
              <w:jc w:val="left"/>
            </w:pPr>
            <w:r>
              <w:t xml:space="preserve">67.4%</w:t>
            </w:r>
          </w:p>
        </w:tc>
      </w:tr>
      <w:tr>
        <w:tc>
          <w:tcPr>
            <w:gridSpan w:val="1"/>
            <w:vMerge w:val="continue"/>
          </w:tcPr>
          <w:p>
            <w:pPr/>
          </w:p>
        </w:tc>
        <w:tc>
          <w:tcPr/>
          <w:p>
            <w:pPr>
              <w:pStyle w:val="Compact"/>
              <w:jc w:val="left"/>
            </w:pPr>
            <w:r>
              <w:t xml:space="preserve">Category 4: Upstream Transportation &amp; Distribution (Outbound)</w:t>
            </w:r>
          </w:p>
        </w:tc>
        <w:tc>
          <w:tcPr/>
          <w:p>
            <w:pPr>
              <w:pStyle w:val="Compact"/>
              <w:jc w:val="left"/>
            </w:pPr>
            <w:r>
              <w:t xml:space="preserve">0.168</w:t>
            </w:r>
          </w:p>
        </w:tc>
        <w:tc>
          <w:tcPr/>
          <w:p>
            <w:pPr>
              <w:pStyle w:val="Compact"/>
              <w:jc w:val="left"/>
            </w:pPr>
            <w:r>
              <w:t xml:space="preserve">0.6%</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0.035</w:t>
            </w:r>
          </w:p>
        </w:tc>
        <w:tc>
          <w:tcPr/>
          <w:p>
            <w:pPr>
              <w:pStyle w:val="Compact"/>
              <w:jc w:val="left"/>
            </w:pPr>
            <w:r>
              <w:t xml:space="preserve">0.1%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43.7%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-6.536</w:t>
            </w:r>
          </w:p>
        </w:tc>
        <w:tc>
          <w:tcPr/>
          <w:p>
            <w:pPr>
              <w:pStyle w:val="Compact"/>
              <w:jc w:val="left"/>
            </w:pPr>
            <w:r>
              <w:t xml:space="preserve">-22.8%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26.842 kg CO2e</w:t>
            </w:r>
          </w:p>
        </w:tc>
        <w:tc>
          <w:tcPr/>
          <w:p>
            <w:pPr>
              <w:pStyle w:val="Compact"/>
              <w:jc w:val="left"/>
            </w:pPr>
            <w:r>
              <w:rPr>
                <w:bCs/>
                <w:b/>
              </w:rPr>
              <w:t xml:space="preserve">100.0%</w:t>
            </w:r>
          </w:p>
        </w:tc>
      </w:tr>
    </w:tbl>
    <w:p>
      <w:r>
        <w:pict>
          <v:rect style="width:0;height:1.5pt" o:hralign="center" o:hrstd="t" o:hr="t"/>
        </w:pict>
      </w:r>
    </w:p>
    <w:bookmarkEnd w:id="42"/>
    <w:bookmarkEnd w:id="43"/>
    <w:bookmarkStart w:id="47" w:name="review-and-reporting"/>
    <w:p>
      <w:pPr>
        <w:pStyle w:val="Heading2"/>
      </w:pPr>
      <w:r>
        <w:t xml:space="preserve">4. Review and Reporting</w:t>
      </w:r>
    </w:p>
    <w:bookmarkStart w:id="44" w:name="hotspot-analysis"/>
    <w:p>
      <w:pPr>
        <w:pStyle w:val="Heading3"/>
      </w:pPr>
      <w:r>
        <w:t xml:space="preserve">4.1 Hotspot Analysis</w:t>
      </w:r>
    </w:p>
    <w:p>
      <w:pPr>
        <w:pStyle w:val="FirstParagraph"/>
      </w:pPr>
      <w:r>
        <w:t xml:space="preserve">Based on the calculations, the primary emission hotspots for the Smart Home Hub (zvgqzwxdsi) are:</w:t>
      </w:r>
    </w:p>
    <w:p>
      <w:pPr>
        <w:numPr>
          <w:ilvl w:val="0"/>
          <w:numId w:val="1016"/>
        </w:numPr>
        <w:pStyle w:val="Compact"/>
      </w:pPr>
      <w:r>
        <w:rPr>
          <w:bCs/>
          <w:b/>
        </w:rPr>
        <w:t xml:space="preserve">Materials (Scope 3, Category 1):</w:t>
      </w:r>
      <w:r>
        <w:t xml:space="preserve"> </w:t>
      </w:r>
      <w:r>
        <w:t xml:space="preserve">Constituting approximately 67.4% of the total footprint. The PCB and Lithium-ion Battery are significant contributors due to their complex manufacturing and material intensity.</w:t>
      </w:r>
    </w:p>
    <w:p>
      <w:pPr>
        <w:numPr>
          <w:ilvl w:val="0"/>
          <w:numId w:val="1016"/>
        </w:numPr>
        <w:pStyle w:val="Compact"/>
      </w:pPr>
      <w:r>
        <w:rPr>
          <w:bCs/>
          <w:b/>
        </w:rPr>
        <w:t xml:space="preserve">Use Phase (Scope 3, Category 11):</w:t>
      </w:r>
      <w:r>
        <w:t xml:space="preserve"> </w:t>
      </w:r>
      <w:r>
        <w:t xml:space="preserve">Accounting for about 43.7% of the footprint, highlighting the importance of energy efficiency during the product\'s operational life, especially if used in regions with higher grid emission factors.</w:t>
      </w:r>
    </w:p>
    <w:p>
      <w:pPr>
        <w:numPr>
          <w:ilvl w:val="0"/>
          <w:numId w:val="1016"/>
        </w:numPr>
        <w:pStyle w:val="Compact"/>
      </w:pPr>
      <w:r>
        <w:rPr>
          <w:bCs/>
          <w:b/>
        </w:rPr>
        <w:t xml:space="preserve">End-of-Life (Scope 3, Category 12):</w:t>
      </w:r>
      <w:r>
        <w:t xml:space="preserve"> </w:t>
      </w:r>
      <w:r>
        <w:t xml:space="preserve">While showing a negative (beneficial) impact due to robust recycling and take-back programs, this category\'s potential emissions (from landfilling) are also notable, underscoring the value of circular initiatives.</w:t>
      </w:r>
    </w:p>
    <w:p>
      <w:pPr>
        <w:numPr>
          <w:ilvl w:val="0"/>
          <w:numId w:val="1016"/>
        </w:numPr>
        <w:pStyle w:val="Compact"/>
      </w:pPr>
      <w:r>
        <w:rPr>
          <w:bCs/>
          <w:b/>
        </w:rPr>
        <w:t xml:space="preserve">Manufacturing Energy (Scope 2):</w:t>
      </w:r>
      <w:r>
        <w:t xml:space="preserve"> </w:t>
      </w:r>
      <w:r>
        <w:t xml:space="preserve">Represents a smaller but still significant portion at 4.9%, indicating room for further renewable energy integration.</w:t>
      </w:r>
    </w:p>
    <w:bookmarkEnd w:id="44"/>
    <w:bookmarkStart w:id="45" w:name="data-reliability-and-limitations"/>
    <w:p>
      <w:pPr>
        <w:pStyle w:val="Heading3"/>
      </w:pPr>
      <w:r>
        <w:t xml:space="preserve">4.2 Data Reliability and Limitations</w:t>
      </w:r>
    </w:p>
    <w:p>
      <w:pPr>
        <w:pStyle w:val="FirstParagraph"/>
      </w:pPr>
      <w:r>
        <w:t xml:space="preserve">The analysis relies on a combination of primary (company-specific parameters) and secondary (industry-average emission factors) data. The accuracy of the PCF is directly dependent on the quality and specificity of this data. While robust industry databases (Ecoinvent, DEFRA) were referenced for emission factors, some assumptions were made for placeholders and generalized scenarios (e.g., average transport distances, generic recycling benefits, average grid mixes). Continued data collection and refinement, especially for supplier-specific emission factors and actual energy mixes, would further enhance accuracy.</w:t>
      </w:r>
    </w:p>
    <w:bookmarkEnd w:id="45"/>
    <w:bookmarkStart w:id="46" w:name="recommendations-for-emission-reduction"/>
    <w:p>
      <w:pPr>
        <w:pStyle w:val="Heading3"/>
      </w:pPr>
      <w:r>
        <w:t xml:space="preserve">4.3 Recommendations for Emission Reduction</w:t>
      </w:r>
    </w:p>
    <w:p>
      <w:pPr>
        <w:numPr>
          <w:ilvl w:val="0"/>
          <w:numId w:val="1017"/>
        </w:numPr>
        <w:pStyle w:val="Compact"/>
      </w:pPr>
      <w:r>
        <w:rPr>
          <w:bCs/>
          <w:b/>
        </w:rPr>
        <w:t xml:space="preserve">Material Optimization:</w:t>
      </w:r>
      <w:r>
        <w:t xml:space="preserve"> </w:t>
      </w:r>
      <w:r>
        <w:t xml:space="preserve">Focus on sourcing lower-impact materials, increasing recycled content, or exploring design for disassembly to improve circularity. Prioritize PCBs and batteries for innovation.</w:t>
      </w:r>
    </w:p>
    <w:p>
      <w:pPr>
        <w:numPr>
          <w:ilvl w:val="0"/>
          <w:numId w:val="1017"/>
        </w:numPr>
        <w:pStyle w:val="Compact"/>
      </w:pPr>
      <w:r>
        <w:rPr>
          <w:bCs/>
          <w:b/>
        </w:rPr>
        <w:t xml:space="preserve">Energy Efficiency:</w:t>
      </w:r>
      <w:r>
        <w:t xml:space="preserve"> </w:t>
      </w:r>
      <w:r>
        <w:t xml:space="preserve">Invest in R&amp;D to reduce the product\'s energy consumption during the use phase. Promote the use of the product in regions with higher renewable energy penetration.</w:t>
      </w:r>
    </w:p>
    <w:p>
      <w:pPr>
        <w:numPr>
          <w:ilvl w:val="0"/>
          <w:numId w:val="1017"/>
        </w:numPr>
        <w:pStyle w:val="Compact"/>
      </w:pPr>
      <w:r>
        <w:rPr>
          <w:bCs/>
          <w:b/>
        </w:rPr>
        <w:t xml:space="preserve">Renewable Energy Adoption:</w:t>
      </w:r>
      <w:r>
        <w:t xml:space="preserve"> </w:t>
      </w:r>
      <w:r>
        <w:t xml:space="preserve">Further increase renewable energy procurement or generation at manufacturing facilities to reduce Scope 2 emissions.</w:t>
      </w:r>
    </w:p>
    <w:p>
      <w:pPr>
        <w:numPr>
          <w:ilvl w:val="0"/>
          <w:numId w:val="1017"/>
        </w:numPr>
        <w:pStyle w:val="Compact"/>
      </w:pPr>
      <w:r>
        <w:rPr>
          <w:bCs/>
          <w:b/>
        </w:rPr>
        <w:t xml:space="preserve">Circular Economy Programs:</w:t>
      </w:r>
      <w:r>
        <w:t xml:space="preserve"> </w:t>
      </w:r>
      <w:r>
        <w:t xml:space="preserve">Strengthen and expand take-back and recycling programs, focusing on maximizing material recovery and minimizing landfill waste, especially for high-impact components.</w:t>
      </w:r>
    </w:p>
    <w:p>
      <w:pPr>
        <w:numPr>
          <w:ilvl w:val="0"/>
          <w:numId w:val="1017"/>
        </w:numPr>
        <w:pStyle w:val="Compact"/>
      </w:pPr>
      <w:r>
        <w:rPr>
          <w:bCs/>
          <w:b/>
        </w:rPr>
        <w:t xml:space="preserve">Supply Chain Engagement:</w:t>
      </w:r>
      <w:r>
        <w:t xml:space="preserve"> </w:t>
      </w:r>
      <w:r>
        <w:t xml:space="preserve">Collaborate with key suppliers to obtain primary data on their operational emissions and encourage their adoption of sustainable practices.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(zvgqzwxdsi)</dc:title>
  <dc:creator/>
  <dc:description>Detailed Product Carbon Footprint (PCF) analysis for the Smart Home Hub (zvgqzwxdsi) by zetwgokyix, adhering to GHG Protocol standards and 2026 LSR updates.</dc:description>
  <cp:keywords/>
  <dcterms:created xsi:type="dcterms:W3CDTF">2026-07-15T04:34:20Z</dcterms:created>
  <dcterms:modified xsi:type="dcterms:W3CDTF">2026-07-15T04:34:20Z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