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(xsdlpgrtqi)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Home Hub (xsdlpgrtqi)</w:t>
      </w:r>
    </w:p>
    <w:p>
      <w:pPr>
        <w:pStyle w:val="BodyText"/>
      </w:pPr>
      <w:r>
        <w:rPr>
          <w:bCs/>
          <w:b/>
        </w:rPr>
        <w:t xml:space="preserve">Company Name:</w:t>
      </w:r>
      <w:r>
        <w:t xml:space="preserve"> </w:t>
      </w:r>
      <w:r>
        <w:t xml:space="preserve">InnovateTech Solutions (fzspptodfd)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Emily Sustainability (pztwmjmilm)</w:t>
      </w:r>
    </w:p>
    <w:p>
      <w:pPr>
        <w:pStyle w:val="BodyText"/>
      </w:pPr>
      <w:r>
        <w:t xml:space="preserve">Disclaimer: This report is generated based on available data and industry standards, providing an estimate of the product\'s carbon footprint.</w:t>
      </w:r>
    </w:p>
    <w:bookmarkEnd w:id="20"/>
    <w:bookmarkStart w:id="50" w:name="Xc4d406982e3e9f2db8ff1ba307cfee270c6cadf"/>
    <w:p>
      <w:pPr>
        <w:pStyle w:val="Heading1"/>
      </w:pPr>
      <w:r>
        <w:t xml:space="preserve">Product Carbon Footprint Analysis: Smart Home Hub (xsdlpgrtqi)</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Smart Home Hub (product identifier: xsdlpgrtqi), manufactured by InnovateTech Solutions (fzspptodfd). The analysis, conducted by Senior Sustainability Consultant Dr. Emily Sustainability (pztwmjmilm), adheres to the GHG Protocol Product Standard, incorporating the 2026 Land Sector and Removals (LSR) Standard update and aiming for at least 95% Scope 3 coverage. The total estimated carbon footprint for the Smart Home Hub is approximately 176.72 kgCO2e per functional unit over its entire lifecycle, with the use phase being the predominant contributor. Key areas for reduction efforts have been identified in the product\'s operational energy consumption and the upstream impact of purchased materials.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the Smart Home Hub (xsdlpgrtqi)</w:t>
      </w:r>
      <w:r>
        <w:t xml:space="preserve">, providing its intended smart home functionalities over its estimated lifespan.</w:t>
      </w:r>
    </w:p>
    <w:bookmarkEnd w:id="22"/>
    <w:bookmarkStart w:id="23" w:name="system-boundary"/>
    <w:p>
      <w:pPr>
        <w:pStyle w:val="Heading3"/>
      </w:pPr>
      <w:r>
        <w:t xml:space="preserve">1.2 System Boundary</w:t>
      </w:r>
    </w:p>
    <w:p>
      <w:pPr>
        <w:numPr>
          <w:ilvl w:val="0"/>
          <w:numId w:val="1002"/>
        </w:numPr>
        <w:pStyle w:val="Compact"/>
      </w:pPr>
      <w:r>
        <w:t xml:space="preserve">The system boundary for this analysis is set as</w:t>
      </w:r>
      <w:r>
        <w:t xml:space="preserve"> </w:t>
      </w:r>
      <w:r>
        <w:rPr>
          <w:bCs/>
          <w:b/>
        </w:rPr>
        <w:t xml:space="preserve">"factory_gate"</w:t>
      </w:r>
      <w:r>
        <w:t xml:space="preserve">, which covers all processes from raw material extraction through manufacturing, packaging, and transport to the point where the finished product leaves the factory gate. For a comprehensive lifecycle assessment as requested, the analysis extends beyond the factory gate to include transport to the customer, the product\'s use phase, and its end-of-life treatment. This "cradle-to-grave" approach provides a holistic view of the product\'s environmental impact.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geographic scope directs the selection of region-specific emission factors for manufacturing energy and transportation.</w:t>
      </w:r>
    </w:p>
    <w:bookmarkEnd w:id="24"/>
    <w:bookmarkStart w:id="25" w:name="accounting-standard"/>
    <w:p>
      <w:pPr>
        <w:pStyle w:val="Heading3"/>
      </w:pPr>
      <w:r>
        <w:t xml:space="preserve">1.4 Accounting Standard</w:t>
      </w:r>
    </w:p>
    <w:p>
      <w:pPr>
        <w:numPr>
          <w:ilvl w:val="0"/>
          <w:numId w:val="1004"/>
        </w:numPr>
        <w:pStyle w:val="Compact"/>
      </w:pPr>
      <w:r>
        <w:t xml:space="preserve">This Product Carbon Footprint analysis is performed in strict adherence to the</w:t>
      </w:r>
      <w:r>
        <w:t xml:space="preserve"> </w:t>
      </w:r>
      <w:r>
        <w:rPr>
          <w:bCs/>
          <w:b/>
        </w:rPr>
        <w:t xml:space="preserve">GHG Protocol Product Standard</w:t>
      </w:r>
      <w:r>
        <w:t xml:space="preserve">. This standard provides a robust framework for quantifying and reporting greenhouse gas emissions associated with individual products across their lifecycle. Emissions are categorized into Scope 1 (direct emissions), Scope 2 (indirect emissions from purchased energy), and Scope 3 (all other indirect emissions in the value chain).</w:t>
      </w:r>
    </w:p>
    <w:p>
      <w:pPr>
        <w:numPr>
          <w:ilvl w:val="0"/>
          <w:numId w:val="1004"/>
        </w:numPr>
        <w:pStyle w:val="Compact"/>
      </w:pPr>
      <w:r>
        <w:t xml:space="preserve">The analysis also incorporates the principles of the</w:t>
      </w:r>
      <w:r>
        <w:t xml:space="preserve"> </w:t>
      </w:r>
      <w:r>
        <w:rPr>
          <w:bCs/>
          <w:b/>
        </w:rPr>
        <w:t xml:space="preserve">2026 Land Sector and Removals (LSR) Standard</w:t>
      </w:r>
      <w:r>
        <w:t xml:space="preserve">, which provides requirements and guidance for accounting for land emissions, CO2 removals, and biogenic products. While the Smart Home Hub primarily consists of manufactured components, any future integration of biogenic materials or carbon removal technologies within its lifecycle would be accounted for under this standard. The LSR Standard, effective January 1, 2027, helps inform mitigation strategies and allows companies to set targets including land-related impacts.</w:t>
      </w:r>
    </w:p>
    <w:bookmarkEnd w:id="25"/>
    <w:bookmarkStart w:id="26" w:name="allocation"/>
    <w:p>
      <w:pPr>
        <w:pStyle w:val="Heading3"/>
      </w:pPr>
      <w:r>
        <w:t xml:space="preserve">1.5 Allocation</w:t>
      </w:r>
    </w:p>
    <w:p>
      <w:pPr>
        <w:numPr>
          <w:ilvl w:val="0"/>
          <w:numId w:val="1005"/>
        </w:numPr>
        <w:pStyle w:val="Compact"/>
      </w:pPr>
      <w:r>
        <w:t xml:space="preserve">For this single-product PCF, direct allocation has been applied, meaning all identified emissions are directly attributed to the Smart Home Hub. Where shared processes (e.g., transport vehicles carrying multiple products) occur, emissions are allocated based on relevant physical parameters such as mass or volume, in line with GHG Protocol guidance.</w:t>
      </w:r>
    </w:p>
    <w:p>
      <w:r>
        <w:pict>
          <v:rect style="width:0;height:1.5pt" o:hralign="center" o:hrstd="t" o:hr="t"/>
        </w:pict>
      </w:r>
    </w:p>
    <w:bookmarkEnd w:id="26"/>
    <w:bookmarkEnd w:id="27"/>
    <w:bookmarkStart w:id="28" w:name="map-lifecycle-lci-inventory-stages"/>
    <w:p>
      <w:pPr>
        <w:pStyle w:val="Heading2"/>
      </w:pPr>
      <w:r>
        <w:t xml:space="preserve">2. Map Lifecycle (LCI Inventory Stages)</w:t>
      </w:r>
    </w:p>
    <w:p>
      <w:pPr>
        <w:pStyle w:val="FirstParagraph"/>
      </w:pPr>
      <w:r>
        <w:t xml:space="preserve">The lifecycle of the Smart Home Hub has been mapped into the following stages, representing a "cradle-to-grave" assessment:</w:t>
      </w:r>
    </w:p>
    <w:p>
      <w:pPr>
        <w:numPr>
          <w:ilvl w:val="0"/>
          <w:numId w:val="1006"/>
        </w:numPr>
        <w:pStyle w:val="Compact"/>
      </w:pPr>
      <w:r>
        <w:rPr>
          <w:bCs/>
          <w:b/>
        </w:rPr>
        <w:t xml:space="preserve">Material Acquisition &amp; Pre-processing (Upstream / Scope 3):</w:t>
      </w:r>
      <w:r>
        <w:t xml:space="preserve"> </w:t>
      </w:r>
      <w:r>
        <w:t xml:space="preserve">Extraction of raw materials and their initial processing into usable forms (e.g., metal smelting, plastic polymerization).</w:t>
      </w:r>
    </w:p>
    <w:p>
      <w:pPr>
        <w:numPr>
          <w:ilvl w:val="0"/>
          <w:numId w:val="1006"/>
        </w:numPr>
        <w:pStyle w:val="Compact"/>
      </w:pPr>
      <w:r>
        <w:rPr>
          <w:bCs/>
          <w:b/>
        </w:rPr>
        <w:t xml:space="preserve">Manufacturing (Core / Scope 1 &amp; 2):</w:t>
      </w:r>
      <w:r>
        <w:t xml:space="preserve"> </w:t>
      </w:r>
      <w:r>
        <w:t xml:space="preserve">Fabrication of components, assembly of the product, and packaging at the production facility.</w:t>
      </w:r>
    </w:p>
    <w:p>
      <w:pPr>
        <w:numPr>
          <w:ilvl w:val="0"/>
          <w:numId w:val="1006"/>
        </w:numPr>
        <w:pStyle w:val="Compact"/>
      </w:pPr>
      <w:r>
        <w:rPr>
          <w:bCs/>
          <w:b/>
        </w:rPr>
        <w:t xml:space="preserve">Transportation (Upstream &amp; Downstream / Scope 3):</w:t>
      </w:r>
      <w:r>
        <w:t xml:space="preserve"> </w:t>
      </w:r>
      <w:r>
        <w:t xml:space="preserve">Movement of raw materials to the factory, and finished products from the factory to distribution centers and ultimately to the end-consumer.</w:t>
      </w:r>
    </w:p>
    <w:p>
      <w:pPr>
        <w:numPr>
          <w:ilvl w:val="0"/>
          <w:numId w:val="1006"/>
        </w:numPr>
        <w:pStyle w:val="Compact"/>
      </w:pPr>
      <w:r>
        <w:rPr>
          <w:bCs/>
          <w:b/>
        </w:rPr>
        <w:t xml:space="preserve">Use Phase (Downstream / Scope 3):</w:t>
      </w:r>
      <w:r>
        <w:t xml:space="preserve"> </w:t>
      </w:r>
      <w:r>
        <w:t xml:space="preserve">Energy consumed by the product during its operational lifespan.</w:t>
      </w:r>
    </w:p>
    <w:p>
      <w:pPr>
        <w:numPr>
          <w:ilvl w:val="0"/>
          <w:numId w:val="1006"/>
        </w:numPr>
        <w:pStyle w:val="Compact"/>
      </w:pPr>
      <w:r>
        <w:rPr>
          <w:bCs/>
          <w:b/>
        </w:rPr>
        <w:t xml:space="preserve">End-of-Life (Downstream / Scope 3):</w:t>
      </w:r>
      <w:r>
        <w:t xml:space="preserve"> </w:t>
      </w:r>
      <w:r>
        <w:t xml:space="preserve">Disposal, recycling, or recovery of materials at the end of the product\'s useful life.</w:t>
      </w:r>
    </w:p>
    <w:p>
      <w:r>
        <w:pict>
          <v:rect style="width:0;height:1.5pt" o:hralign="center" o:hrstd="t" o:hr="t"/>
        </w:pict>
      </w:r>
    </w:p>
    <w:bookmarkEnd w:id="28"/>
    <w:bookmarkStart w:id="34" w:name="Xb57f50a89bf1f3f1837369be949d9d60d6c1272"/>
    <w:p>
      <w:pPr>
        <w:pStyle w:val="Heading2"/>
      </w:pPr>
      <w:r>
        <w:t xml:space="preserve">3. Collect Data (Primary/Secondary Data Points)</w:t>
      </w:r>
    </w:p>
    <w:p>
      <w:pPr>
        <w:pStyle w:val="FirstParagraph"/>
      </w:pPr>
      <w:r>
        <w:t xml:space="preserve">A combination of primary and secondary data has been utilized for this analysis. Primary data consists of the specific parameters provided for this product, while secondary data is drawn from industry-standard databases for emission factors where primary data is unavailable.</w:t>
      </w:r>
    </w:p>
    <w:bookmarkStart w:id="29" w:name="X577c4af9bd611d90be26d1851941e3581900e0a"/>
    <w:p>
      <w:pPr>
        <w:pStyle w:val="Heading3"/>
      </w:pPr>
      <w:r>
        <w:t xml:space="preserve">3.1 Detailed Bill of Materials (BOM) - xkxwlsxp (Material Acquisition &amp; Pre-processing)</w:t>
      </w:r>
    </w:p>
    <w:p>
      <w:pPr>
        <w:pStyle w:val="FirstParagraph"/>
      </w:pPr>
      <w:r>
        <w:t xml:space="preserve">The following Bill of Materials (BOM) was provided for the Smart Home Hub. These specific values, including the pre-calculated \'Total Carbon\', have been used for the high-accuracy material impact calculation. These represent upstream (Scope 3, Category 1: Purchased Goods and Services) emissions. Industry-standard emission factors, often sourced from databases like Ecoinvent or DEFRA, are typically used to derive such "Total Carbon" values per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Sub-total Material CO2e:</w:t>
            </w:r>
          </w:p>
        </w:tc>
        <w:tc>
          <w:tcPr/>
          <w:p>
            <w:pPr>
              <w:pStyle w:val="Compact"/>
              <w:jc w:val="left"/>
            </w:pPr>
            <w:r>
              <w:rPr>
                <w:bCs/>
                <w:b/>
              </w:rPr>
              <w:t xml:space="preserve">4.91</w:t>
            </w:r>
          </w:p>
        </w:tc>
      </w:tr>
    </w:tbl>
    <w:bookmarkEnd w:id="29"/>
    <w:bookmarkStart w:id="30" w:name="energy-inputs-manufacturing"/>
    <w:p>
      <w:pPr>
        <w:pStyle w:val="Heading3"/>
      </w:pPr>
      <w:r>
        <w:t xml:space="preserve">3.2 Energy Inputs (Manufacturing)</w:t>
      </w:r>
    </w:p>
    <w:p>
      <w:pPr>
        <w:numPr>
          <w:ilvl w:val="0"/>
          <w:numId w:val="1007"/>
        </w:numPr>
        <w:pStyle w:val="Compact"/>
      </w:pPr>
      <w:r>
        <w:rPr>
          <w:bCs/>
          <w:b/>
        </w:rPr>
        <w:t xml:space="preserve">Renewable Energy Usage (qhtkpvtqdl):</w:t>
      </w:r>
      <w:r>
        <w:t xml:space="preserve"> </w:t>
      </w:r>
      <w:r>
        <w:t xml:space="preserve">85%</w:t>
      </w:r>
    </w:p>
    <w:p>
      <w:pPr>
        <w:numPr>
          <w:ilvl w:val="0"/>
          <w:numId w:val="1007"/>
        </w:numPr>
        <w:pStyle w:val="Compact"/>
      </w:pPr>
      <w:r>
        <w:rPr>
          <w:bCs/>
          <w:b/>
        </w:rPr>
        <w:t xml:space="preserve">Energy Intensity (kWh/unit) (hhdwkofzkq):</w:t>
      </w:r>
      <w:r>
        <w:t xml:space="preserve"> </w:t>
      </w:r>
      <w:r>
        <w:t xml:space="preserve">7.5 kWh/unit</w:t>
      </w:r>
    </w:p>
    <w:p>
      <w:pPr>
        <w:numPr>
          <w:ilvl w:val="0"/>
          <w:numId w:val="1007"/>
        </w:numPr>
        <w:pStyle w:val="Compact"/>
      </w:pPr>
      <w:r>
        <w:t xml:space="preserve">For the 15% non-renewable electricity usage in China, an average grid emission factor of 0.7 kgCO2e/kWh is applied, reflecting China\'s energy mix. For the renewable portion, a residual emission factor of 0.05 kgCO2e/kWh is used to account for infrastructure and minor lifecycle emissions.</w:t>
      </w:r>
    </w:p>
    <w:bookmarkEnd w:id="30"/>
    <w:bookmarkStart w:id="31" w:name="logistics-data-transportation"/>
    <w:p>
      <w:pPr>
        <w:pStyle w:val="Heading3"/>
      </w:pPr>
      <w:r>
        <w:t xml:space="preserve">3.3 Logistics Data (Transportation)</w:t>
      </w:r>
    </w:p>
    <w:p>
      <w:pPr>
        <w:numPr>
          <w:ilvl w:val="0"/>
          <w:numId w:val="1008"/>
        </w:numPr>
        <w:pStyle w:val="Compact"/>
      </w:pPr>
      <w:r>
        <w:rPr>
          <w:bCs/>
          <w:b/>
        </w:rPr>
        <w:t xml:space="preserve">Transport Mode (Select Mode):</w:t>
      </w:r>
      <w:r>
        <w:t xml:space="preserve"> </w:t>
      </w:r>
      <w:r>
        <w:t xml:space="preserve">Ocean Freight (Intercontinental), Road Freight (Regional)</w:t>
      </w:r>
    </w:p>
    <w:p>
      <w:pPr>
        <w:numPr>
          <w:ilvl w:val="0"/>
          <w:numId w:val="1008"/>
        </w:numPr>
        <w:pStyle w:val="Compact"/>
      </w:pPr>
      <w:r>
        <w:rPr>
          <w:bCs/>
          <w:b/>
        </w:rPr>
        <w:t xml:space="preserve">Transport Distance (stqwsddypv):</w:t>
      </w:r>
      <w:r>
        <w:t xml:space="preserve"> </w:t>
      </w:r>
      <w:r>
        <w:t xml:space="preserve">Ocean: 12,000 km, Road: 800 km (for upstream material transport and regional distribution of finished product).</w:t>
      </w:r>
    </w:p>
    <w:p>
      <w:pPr>
        <w:numPr>
          <w:ilvl w:val="0"/>
          <w:numId w:val="1008"/>
        </w:numPr>
        <w:pStyle w:val="Compact"/>
      </w:pPr>
      <w:r>
        <w:rPr>
          <w:bCs/>
          <w:b/>
        </w:rPr>
        <w:t xml:space="preserve">Last-Mile Delivery Channel (Delivery Type):</w:t>
      </w:r>
      <w:r>
        <w:t xml:space="preserve"> </w:t>
      </w:r>
      <w:r>
        <w:t xml:space="preserve">Parcel Delivery Service</w:t>
      </w:r>
    </w:p>
    <w:p>
      <w:pPr>
        <w:numPr>
          <w:ilvl w:val="0"/>
          <w:numId w:val="1008"/>
        </w:numPr>
        <w:pStyle w:val="Compact"/>
      </w:pPr>
      <w:r>
        <w:rPr>
          <w:bCs/>
          <w:b/>
        </w:rPr>
        <w:t xml:space="preserve">Emission Factors Used:</w:t>
      </w:r>
    </w:p>
    <w:p>
      <w:pPr>
        <w:numPr>
          <w:ilvl w:val="1"/>
          <w:numId w:val="1009"/>
        </w:numPr>
        <w:pStyle w:val="Compact"/>
      </w:pPr>
      <w:r>
        <w:t xml:space="preserve">Ocean Freight (Container Ship): 0.016 kgCO2e/tonne-km.</w:t>
      </w:r>
    </w:p>
    <w:p>
      <w:pPr>
        <w:numPr>
          <w:ilvl w:val="1"/>
          <w:numId w:val="1009"/>
        </w:numPr>
        <w:pStyle w:val="Compact"/>
      </w:pPr>
      <w:r>
        <w:t xml:space="preserve">Road Freight (Heavy Duty Truck): 0.1 kgCO2e/tonne-km.</w:t>
      </w:r>
    </w:p>
    <w:p>
      <w:pPr>
        <w:numPr>
          <w:ilvl w:val="1"/>
          <w:numId w:val="1009"/>
        </w:numPr>
        <w:pStyle w:val="Compact"/>
      </w:pPr>
      <w:r>
        <w:t xml:space="preserve">Parcel Delivery Service (Last Mile): 0.55 kgCO2e/parcel (an average factor accounting for vehicle type and distance).</w:t>
      </w:r>
    </w:p>
    <w:p>
      <w:pPr>
        <w:numPr>
          <w:ilvl w:val="0"/>
          <w:numId w:val="1008"/>
        </w:numPr>
        <w:pStyle w:val="Compact"/>
      </w:pPr>
      <w:r>
        <w:t xml:space="preserve">Product weight for transport calculations: Upstream materials total ~1.1 kg. Finished product (including packaging) assumed to be ~1.5 kg per unit.</w:t>
      </w:r>
    </w:p>
    <w:bookmarkEnd w:id="31"/>
    <w:bookmarkStart w:id="32" w:name="use-phase-data"/>
    <w:p>
      <w:pPr>
        <w:pStyle w:val="Heading3"/>
      </w:pPr>
      <w:r>
        <w:t xml:space="preserve">3.4 Use Phase Data</w:t>
      </w:r>
    </w:p>
    <w:p>
      <w:pPr>
        <w:numPr>
          <w:ilvl w:val="0"/>
          <w:numId w:val="1010"/>
        </w:numPr>
        <w:pStyle w:val="Compact"/>
      </w:pPr>
      <w:r>
        <w:rPr>
          <w:bCs/>
          <w:b/>
        </w:rPr>
        <w:t xml:space="preserve">Product Lifespan (tppwzjgequ):</w:t>
      </w:r>
      <w:r>
        <w:t xml:space="preserve"> </w:t>
      </w:r>
      <w:r>
        <w:t xml:space="preserve">7 years</w:t>
      </w:r>
    </w:p>
    <w:p>
      <w:pPr>
        <w:numPr>
          <w:ilvl w:val="0"/>
          <w:numId w:val="1010"/>
        </w:numPr>
        <w:pStyle w:val="Compact"/>
      </w:pPr>
      <w:r>
        <w:rPr>
          <w:bCs/>
          <w:b/>
        </w:rPr>
        <w:t xml:space="preserve">Energy Consumption in Use (eqtohojkrr):</w:t>
      </w:r>
      <w:r>
        <w:t xml:space="preserve"> </w:t>
      </w:r>
      <w:r>
        <w:t xml:space="preserve">35 kWh/year</w:t>
      </w:r>
    </w:p>
    <w:p>
      <w:pPr>
        <w:numPr>
          <w:ilvl w:val="0"/>
          <w:numId w:val="1010"/>
        </w:numPr>
        <w:pStyle w:val="Compact"/>
      </w:pPr>
      <w:r>
        <w:t xml:space="preserve">The same China grid emission factor of 0.7 kgCO2e/kWh is applied for the energy consumed during the product\'s use phase, assuming typical user electricity sources.</w:t>
      </w:r>
    </w:p>
    <w:bookmarkEnd w:id="32"/>
    <w:bookmarkStart w:id="33" w:name="end-of-life-eol-scenarios"/>
    <w:p>
      <w:pPr>
        <w:pStyle w:val="Heading3"/>
      </w:pPr>
      <w:r>
        <w:t xml:space="preserve">3.5 End-of-Life (EoL) Scenarios</w:t>
      </w:r>
    </w:p>
    <w:p>
      <w:pPr>
        <w:numPr>
          <w:ilvl w:val="0"/>
          <w:numId w:val="1011"/>
        </w:numPr>
        <w:pStyle w:val="Compact"/>
      </w:pPr>
      <w:r>
        <w:rPr>
          <w:bCs/>
          <w:b/>
        </w:rPr>
        <w:t xml:space="preserve">Recyclability Percentage (wwesttnvyr):</w:t>
      </w:r>
      <w:r>
        <w:t xml:space="preserve"> </w:t>
      </w:r>
      <w:r>
        <w:t xml:space="preserve">70%</w:t>
      </w:r>
    </w:p>
    <w:p>
      <w:pPr>
        <w:numPr>
          <w:ilvl w:val="0"/>
          <w:numId w:val="1011"/>
        </w:numPr>
        <w:pStyle w:val="Compact"/>
      </w:pPr>
      <w:r>
        <w:rPr>
          <w:bCs/>
          <w:b/>
        </w:rPr>
        <w:t xml:space="preserve">Circular/Take-back Programs (ygqgumwsik):</w:t>
      </w:r>
      <w:r>
        <w:t xml:space="preserve"> </w:t>
      </w:r>
      <w:r>
        <w:t xml:space="preserve">Yes, comprehensive take-back program with material recovery.</w:t>
      </w:r>
    </w:p>
    <w:p>
      <w:pPr>
        <w:numPr>
          <w:ilvl w:val="0"/>
          <w:numId w:val="1011"/>
        </w:numPr>
        <w:pStyle w:val="Compact"/>
      </w:pPr>
      <w:r>
        <w:t xml:space="preserve">A recycling credit is applied for the recoverable materials, assuming 50% of the virgin material\'s upstream emissions are avoided for the 70% recycled content.</w:t>
      </w:r>
    </w:p>
    <w:p>
      <w:r>
        <w:pict>
          <v:rect style="width:0;height:1.5pt" o:hralign="center" o:hrstd="t" o:hr="t"/>
        </w:pict>
      </w:r>
    </w:p>
    <w:bookmarkEnd w:id="33"/>
    <w:bookmarkEnd w:id="34"/>
    <w:bookmarkStart w:id="43" w:name="calculate-emissions"/>
    <w:p>
      <w:pPr>
        <w:pStyle w:val="Heading2"/>
      </w:pPr>
      <w:r>
        <w:t xml:space="preserve">4. Calculate Emissions</w:t>
      </w:r>
    </w:p>
    <w:p>
      <w:pPr>
        <w:pStyle w:val="FirstParagraph"/>
      </w:pPr>
      <w:r>
        <w:t xml:space="preserve">Emissions are calculated using the formula: Activity Data × Emission Factor = CO2e. These are then categorized according to the GHG Protocol.</w:t>
      </w:r>
    </w:p>
    <w:bookmarkStart w:id="35" w:name="scope-1-direct-emissions"/>
    <w:p>
      <w:pPr>
        <w:pStyle w:val="Heading3"/>
      </w:pPr>
      <w:r>
        <w:t xml:space="preserve">4.1 Scope 1: Direct Emissions</w:t>
      </w:r>
    </w:p>
    <w:p>
      <w:pPr>
        <w:numPr>
          <w:ilvl w:val="0"/>
          <w:numId w:val="1012"/>
        </w:numPr>
        <w:pStyle w:val="Compact"/>
      </w:pPr>
      <w:r>
        <w:t xml:space="preserve">No direct emissions from sources owned or controlled by InnovateTech Solutions (fzspptodfd) for the production of xsdlpgrtqi have been identified or provided within the defined system boundary. Therefore, Scope 1 emissions are considered negligible for this product.</w:t>
      </w:r>
    </w:p>
    <w:p>
      <w:pPr>
        <w:numPr>
          <w:ilvl w:val="0"/>
          <w:numId w:val="1012"/>
        </w:numPr>
        <w:pStyle w:val="Compact"/>
      </w:pPr>
      <w:r>
        <w:rPr>
          <w:bCs/>
          <w:b/>
        </w:rPr>
        <w:t xml:space="preserve">Total Scope 1 Emissions: 0.00 kgCO2e</w:t>
      </w:r>
    </w:p>
    <w:bookmarkEnd w:id="35"/>
    <w:bookmarkStart w:id="36" w:name="X0196d333647aec5fe808ccff240ca4891e6afb8"/>
    <w:p>
      <w:pPr>
        <w:pStyle w:val="Heading3"/>
      </w:pPr>
      <w:r>
        <w:t xml:space="preserve">4.2 Scope 2: Purchased Energy Emissions (Manufacturing)</w:t>
      </w:r>
    </w:p>
    <w:p>
      <w:pPr>
        <w:pStyle w:val="FirstParagraph"/>
      </w:pPr>
      <w:r>
        <w:t xml:space="preserve">These are indirect emissions from the generation of purchased electricity for the manufacturing process.</w:t>
      </w:r>
    </w:p>
    <w:p>
      <w:pPr>
        <w:numPr>
          <w:ilvl w:val="0"/>
          <w:numId w:val="1013"/>
        </w:numPr>
        <w:pStyle w:val="Compact"/>
      </w:pPr>
      <w:r>
        <w:t xml:space="preserve">Total Energy Intensity: 7.5 kWh/unit</w:t>
      </w:r>
    </w:p>
    <w:p>
      <w:pPr>
        <w:numPr>
          <w:ilvl w:val="0"/>
          <w:numId w:val="1013"/>
        </w:numPr>
        <w:pStyle w:val="Compact"/>
      </w:pPr>
      <w:r>
        <w:t xml:space="preserve">Non-renewable electricity portion: 7.5 kWh/unit × (1 - 0.85) = 1.125 kWh/unit</w:t>
      </w:r>
    </w:p>
    <w:p>
      <w:pPr>
        <w:numPr>
          <w:ilvl w:val="0"/>
          <w:numId w:val="1013"/>
        </w:numPr>
        <w:pStyle w:val="Compact"/>
      </w:pPr>
      <w:r>
        <w:t xml:space="preserve">Renewable electricity portion: 7.5 kWh/unit × 0.85 = 6.375 kWh/unit</w:t>
      </w:r>
    </w:p>
    <w:p>
      <w:pPr>
        <w:numPr>
          <w:ilvl w:val="0"/>
          <w:numId w:val="1013"/>
        </w:numPr>
        <w:pStyle w:val="Compact"/>
      </w:pPr>
      <w:r>
        <w:t xml:space="preserve">Emissions from non-renewable electricity: 1.125 kWh/unit × 0.7 kgCO2e/kWh (China grid mix) = 0.7875 kgCO2e</w:t>
      </w:r>
    </w:p>
    <w:p>
      <w:pPr>
        <w:numPr>
          <w:ilvl w:val="0"/>
          <w:numId w:val="1013"/>
        </w:numPr>
        <w:pStyle w:val="Compact"/>
      </w:pPr>
      <w:r>
        <w:t xml:space="preserve">Emissions from renewable electricity: 6.375 kWh/unit × 0.05 kgCO2e/kWh (residual) = 0.31875 kgCO2e</w:t>
      </w:r>
    </w:p>
    <w:p>
      <w:pPr>
        <w:numPr>
          <w:ilvl w:val="0"/>
          <w:numId w:val="1013"/>
        </w:numPr>
        <w:pStyle w:val="Compact"/>
      </w:pPr>
      <w:r>
        <w:rPr>
          <w:bCs/>
          <w:b/>
        </w:rPr>
        <w:t xml:space="preserve">Total Scope 2 Emissions: 0.7875 + 0.31875 = 1.11 kgCO2e</w:t>
      </w:r>
    </w:p>
    <w:bookmarkEnd w:id="36"/>
    <w:bookmarkStart w:id="41" w:name="scope-3-value-chain-emissions"/>
    <w:p>
      <w:pPr>
        <w:pStyle w:val="Heading3"/>
      </w:pPr>
      <w:r>
        <w:t xml:space="preserve">4.3 Scope 3: Value Chain Emissions</w:t>
      </w:r>
    </w:p>
    <w:p>
      <w:pPr>
        <w:pStyle w:val="FirstParagraph"/>
      </w:pPr>
      <w:r>
        <w:t xml:space="preserve">Scope 3 includes all other indirect emissions that occur in the value chain, both upstream and downstream. The analysis ensures at least 95% coverage for Scope 3 reporting as per 2026 requirements.</w:t>
      </w:r>
    </w:p>
    <w:bookmarkStart w:id="37"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pre-processing of raw materials and components, as detailed in the BOM.</w:t>
      </w:r>
    </w:p>
    <w:p>
      <w:pPr>
        <w:numPr>
          <w:ilvl w:val="0"/>
          <w:numId w:val="1014"/>
        </w:numPr>
        <w:pStyle w:val="Compact"/>
      </w:pPr>
      <w:r>
        <w:t xml:space="preserve">Sum of \'Total Carbon\' from the Detailed BOM (xkxwlsxp): 4.91 kgCO2e</w:t>
      </w:r>
    </w:p>
    <w:p>
      <w:pPr>
        <w:numPr>
          <w:ilvl w:val="0"/>
          <w:numId w:val="1014"/>
        </w:numPr>
        <w:pStyle w:val="Compact"/>
      </w:pPr>
      <w:r>
        <w:rPr>
          <w:bCs/>
          <w:b/>
        </w:rPr>
        <w:t xml:space="preserve">Total Scope 3 - Materials Emissions: 4.91 kgCO2e</w:t>
      </w:r>
    </w:p>
    <w:bookmarkEnd w:id="37"/>
    <w:bookmarkStart w:id="38" w:name="Xe89e0a56fad43ffa0ef954ec8eb4af10b66d99f"/>
    <w:p>
      <w:pPr>
        <w:pStyle w:val="Heading4"/>
      </w:pPr>
      <w:r>
        <w:t xml:space="preserve">4.3.2 Category 4 &amp; 9: Transportation and Distribution (Upstream &amp; Downstream)</w:t>
      </w:r>
    </w:p>
    <w:p>
      <w:pPr>
        <w:pStyle w:val="FirstParagraph"/>
      </w:pPr>
      <w:r>
        <w:t xml:space="preserve">Emissions from the transportation of raw materials to the manufacturing facility (upstream) and finished products to the end-consumer (downstream).</w:t>
      </w:r>
    </w:p>
    <w:p>
      <w:pPr>
        <w:numPr>
          <w:ilvl w:val="0"/>
          <w:numId w:val="1015"/>
        </w:numPr>
        <w:pStyle w:val="Compact"/>
      </w:pPr>
      <w:r>
        <w:rPr>
          <w:bCs/>
          <w:b/>
        </w:rPr>
        <w:t xml:space="preserve">Upstream Transport (Materials to Factory):</w:t>
      </w:r>
    </w:p>
    <w:p>
      <w:pPr>
        <w:numPr>
          <w:ilvl w:val="1"/>
          <w:numId w:val="1016"/>
        </w:numPr>
        <w:pStyle w:val="Compact"/>
      </w:pPr>
      <w:r>
        <w:t xml:space="preserve">Assumed material input weight: 1.1 kg (0.0011 tonnes)</w:t>
      </w:r>
    </w:p>
    <w:p>
      <w:pPr>
        <w:numPr>
          <w:ilvl w:val="1"/>
          <w:numId w:val="1016"/>
        </w:numPr>
        <w:pStyle w:val="Compact"/>
      </w:pPr>
      <w:r>
        <w:t xml:space="preserve">Ocean Freight: 0.0011 tonnes × 12,000 km × 0.016 kgCO2e/tkm = 0.2112 kgCO2e</w:t>
      </w:r>
    </w:p>
    <w:p>
      <w:pPr>
        <w:numPr>
          <w:ilvl w:val="1"/>
          <w:numId w:val="1016"/>
        </w:numPr>
        <w:pStyle w:val="Compact"/>
      </w:pPr>
      <w:r>
        <w:t xml:space="preserve">Road Freight (to factory): 0.0011 tonnes × 800 km × 0.1 kgCO2e/tkm = 0.088 kgCO2e</w:t>
      </w:r>
    </w:p>
    <w:p>
      <w:pPr>
        <w:numPr>
          <w:ilvl w:val="1"/>
          <w:numId w:val="1016"/>
        </w:numPr>
        <w:pStyle w:val="Compact"/>
      </w:pPr>
      <w:r>
        <w:t xml:space="preserve">Sub-total Upstream Transport: 0.2112 + 0.088 = 0.2992 kgCO2e</w:t>
      </w:r>
    </w:p>
    <w:p>
      <w:pPr>
        <w:numPr>
          <w:ilvl w:val="0"/>
          <w:numId w:val="1015"/>
        </w:numPr>
        <w:pStyle w:val="Compact"/>
      </w:pPr>
      <w:r>
        <w:rPr>
          <w:bCs/>
          <w:b/>
        </w:rPr>
        <w:t xml:space="preserve">Downstream Transport (Finished Product to Customer):</w:t>
      </w:r>
    </w:p>
    <w:p>
      <w:pPr>
        <w:numPr>
          <w:ilvl w:val="1"/>
          <w:numId w:val="1017"/>
        </w:numPr>
        <w:pStyle w:val="Compact"/>
      </w:pPr>
      <w:r>
        <w:t xml:space="preserve">Assumed finished product weight (incl. packaging): 1.5 kg (0.0015 tonnes)</w:t>
      </w:r>
    </w:p>
    <w:p>
      <w:pPr>
        <w:numPr>
          <w:ilvl w:val="1"/>
          <w:numId w:val="1017"/>
        </w:numPr>
        <w:pStyle w:val="Compact"/>
      </w:pPr>
      <w:r>
        <w:t xml:space="preserve">Road Freight (factory to distribution center): 0.0015 tonnes × 500 km × 0.1 kgCO2e/tkm = 0.075 kgCO2e</w:t>
      </w:r>
    </w:p>
    <w:p>
      <w:pPr>
        <w:numPr>
          <w:ilvl w:val="1"/>
          <w:numId w:val="1017"/>
        </w:numPr>
        <w:pStyle w:val="Compact"/>
      </w:pPr>
      <w:r>
        <w:t xml:space="preserve">Parcel Delivery (Last Mile): 1 parcel × 0.55 kgCO2e/parcel = 0.55 kgCO2e</w:t>
      </w:r>
    </w:p>
    <w:p>
      <w:pPr>
        <w:numPr>
          <w:ilvl w:val="1"/>
          <w:numId w:val="1017"/>
        </w:numPr>
        <w:pStyle w:val="Compact"/>
      </w:pPr>
      <w:r>
        <w:t xml:space="preserve">Sub-total Downstream Transport: 0.075 + 0.55 = 0.625 kgCO2e</w:t>
      </w:r>
    </w:p>
    <w:p>
      <w:pPr>
        <w:numPr>
          <w:ilvl w:val="0"/>
          <w:numId w:val="1015"/>
        </w:numPr>
        <w:pStyle w:val="Compact"/>
      </w:pPr>
      <w:r>
        <w:rPr>
          <w:bCs/>
          <w:b/>
        </w:rPr>
        <w:t xml:space="preserve">Total Scope 3 - Transport Emissions: 0.2992 + 0.625 = 0.92 kgCO2e</w:t>
      </w:r>
    </w:p>
    <w:bookmarkEnd w:id="38"/>
    <w:bookmarkStart w:id="39" w:name="category-11-use-of-sold-products"/>
    <w:p>
      <w:pPr>
        <w:pStyle w:val="Heading4"/>
      </w:pPr>
      <w:r>
        <w:t xml:space="preserve">4.3.3 Category 11: Use of Sold Products</w:t>
      </w:r>
    </w:p>
    <w:p>
      <w:pPr>
        <w:pStyle w:val="FirstParagraph"/>
      </w:pPr>
      <w:r>
        <w:t xml:space="preserve">Emissions from the energy consumed by the Smart Home Hub during its 7-year lifespan.</w:t>
      </w:r>
    </w:p>
    <w:p>
      <w:pPr>
        <w:numPr>
          <w:ilvl w:val="0"/>
          <w:numId w:val="1018"/>
        </w:numPr>
        <w:pStyle w:val="Compact"/>
      </w:pPr>
      <w:r>
        <w:t xml:space="preserve">Total energy consumption over lifespan: 35 kWh/year × 7 years = 245 kWh/unit</w:t>
      </w:r>
    </w:p>
    <w:p>
      <w:pPr>
        <w:numPr>
          <w:ilvl w:val="0"/>
          <w:numId w:val="1018"/>
        </w:numPr>
        <w:pStyle w:val="Compact"/>
      </w:pPr>
      <w:r>
        <w:t xml:space="preserve">Emissions: 245 kWh/unit × 0.7 kgCO2e/kWh (China grid mix) = 171.50 kgCO2e</w:t>
      </w:r>
    </w:p>
    <w:p>
      <w:pPr>
        <w:numPr>
          <w:ilvl w:val="0"/>
          <w:numId w:val="1018"/>
        </w:numPr>
        <w:pStyle w:val="Compact"/>
      </w:pPr>
      <w:r>
        <w:rPr>
          <w:bCs/>
          <w:b/>
        </w:rPr>
        <w:t xml:space="preserve">Total Scope 3 - Use Phase Emissions: 171.50 kgCO2e</w:t>
      </w:r>
    </w:p>
    <w:bookmarkEnd w:id="39"/>
    <w:bookmarkStart w:id="40" w:name="X9f66eef2700632e081dfe139021cb724ffcd2c5"/>
    <w:p>
      <w:pPr>
        <w:pStyle w:val="Heading4"/>
      </w:pPr>
      <w:r>
        <w:t xml:space="preserve">4.3.4 Category 12: End-of-Life Treatment of Sold Products</w:t>
      </w:r>
    </w:p>
    <w:p>
      <w:pPr>
        <w:pStyle w:val="FirstParagraph"/>
      </w:pPr>
      <w:r>
        <w:t xml:space="preserve">Emissions or credits associated with the disposal and recycling of the product at the end of its life.</w:t>
      </w:r>
    </w:p>
    <w:p>
      <w:pPr>
        <w:numPr>
          <w:ilvl w:val="0"/>
          <w:numId w:val="1019"/>
        </w:numPr>
        <w:pStyle w:val="Compact"/>
      </w:pPr>
      <w:r>
        <w:t xml:space="preserve">Total material weight (components + packaging): 1.1 kg + 0.2 kg = 1.3 kg</w:t>
      </w:r>
    </w:p>
    <w:p>
      <w:pPr>
        <w:numPr>
          <w:ilvl w:val="0"/>
          <w:numId w:val="1019"/>
        </w:numPr>
        <w:pStyle w:val="Compact"/>
      </w:pPr>
      <w:r>
        <w:t xml:space="preserve">Recyclability: 70%</w:t>
      </w:r>
    </w:p>
    <w:p>
      <w:pPr>
        <w:numPr>
          <w:ilvl w:val="0"/>
          <w:numId w:val="1019"/>
        </w:numPr>
        <w:pStyle w:val="Compact"/>
      </w:pPr>
      <w:r>
        <w:t xml:space="preserve">Initial material production emissions for 1.3 kg: (4.91 kgCO2e / Total BOM weight assumed) * 1.3 kg (using actual BOM total weight for precise calculation, here simplifying as 4.91 kgCO2e for initial materials)</w:t>
      </w:r>
    </w:p>
    <w:p>
      <w:pPr>
        <w:numPr>
          <w:ilvl w:val="0"/>
          <w:numId w:val="1019"/>
        </w:numPr>
        <w:pStyle w:val="Compact"/>
      </w:pPr>
      <w:r>
        <w:t xml:space="preserve">Recycling Credit: A credit equivalent to 50% of the initial material production emissions for the 70% recycled portion is applied.</w:t>
      </w:r>
      <w:r>
        <w:br/>
      </w:r>
      <w:r>
        <w:t xml:space="preserve">Estimated material impact per kg = 4.91 kgCO2e / 1.3 kg = 3.777 kgCO2e/kg</w:t>
      </w:r>
      <w:r>
        <w:br/>
      </w:r>
      <w:r>
        <w:t xml:space="preserve">Recycled mass: 1.3 kg * 0.70 = 0.91 kg</w:t>
      </w:r>
      <w:r>
        <w:br/>
      </w:r>
      <w:r>
        <w:t xml:space="preserve">Credit: 0.91 kg * 3.777 kgCO2e/kg * 0.50 = -1.719 kgCO2e</w:t>
      </w:r>
    </w:p>
    <w:p>
      <w:pPr>
        <w:numPr>
          <w:ilvl w:val="0"/>
          <w:numId w:val="1019"/>
        </w:numPr>
        <w:pStyle w:val="Compact"/>
      </w:pPr>
      <w:r>
        <w:rPr>
          <w:bCs/>
          <w:b/>
        </w:rPr>
        <w:t xml:space="preserve">Total Scope 3 - End-of-Life Emissions: -1.72 kgCO2e (Credit)</w:t>
      </w:r>
    </w:p>
    <w:bookmarkEnd w:id="40"/>
    <w:bookmarkEnd w:id="41"/>
    <w:bookmarkStart w:id="42"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 &amp; Category</w:t>
            </w:r>
          </w:p>
        </w:tc>
        <w:tc>
          <w:tcPr/>
          <w:p>
            <w:pPr>
              <w:pStyle w:val="Compact"/>
              <w:jc w:val="left"/>
            </w:pPr>
            <w:r>
              <w:t xml:space="preserve">Calculated CO2e (kg)</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1.11</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Purchased Goods and Services (Materials)</w:t>
            </w:r>
          </w:p>
        </w:tc>
        <w:tc>
          <w:tcPr/>
          <w:p>
            <w:pPr>
              <w:pStyle w:val="Compact"/>
              <w:jc w:val="left"/>
            </w:pPr>
            <w:r>
              <w:t xml:space="preserve">4.91</w:t>
            </w:r>
          </w:p>
        </w:tc>
      </w:tr>
      <w:tr>
        <w:tc>
          <w:tcPr/>
          <w:p>
            <w:pPr>
              <w:pStyle w:val="Compact"/>
              <w:jc w:val="left"/>
            </w:pPr>
            <w:r>
              <w:t xml:space="preserve">    Transportation and Distribution (Upstream)</w:t>
            </w:r>
          </w:p>
        </w:tc>
        <w:tc>
          <w:tcPr/>
          <w:p>
            <w:pPr>
              <w:pStyle w:val="Compact"/>
              <w:jc w:val="left"/>
            </w:pPr>
            <w:r>
              <w:t xml:space="preserve">0.30</w:t>
            </w:r>
          </w:p>
        </w:tc>
      </w:tr>
      <w:tr>
        <w:tc>
          <w:tcPr/>
          <w:p>
            <w:pPr>
              <w:pStyle w:val="Compact"/>
              <w:jc w:val="left"/>
            </w:pPr>
            <w:r>
              <w:t xml:space="preserve">    Transportation and Distribution (Downstream)</w:t>
            </w:r>
          </w:p>
        </w:tc>
        <w:tc>
          <w:tcPr/>
          <w:p>
            <w:pPr>
              <w:pStyle w:val="Compact"/>
              <w:jc w:val="left"/>
            </w:pPr>
            <w:r>
              <w:t xml:space="preserve">0.62</w:t>
            </w:r>
          </w:p>
        </w:tc>
      </w:tr>
      <w:tr>
        <w:tc>
          <w:tcPr/>
          <w:p>
            <w:pPr>
              <w:pStyle w:val="Compact"/>
              <w:jc w:val="left"/>
            </w:pPr>
            <w:r>
              <w:t xml:space="preserve">    Use of Sold Products</w:t>
            </w:r>
          </w:p>
        </w:tc>
        <w:tc>
          <w:tcPr/>
          <w:p>
            <w:pPr>
              <w:pStyle w:val="Compact"/>
              <w:jc w:val="left"/>
            </w:pPr>
            <w:r>
              <w:t xml:space="preserve">171.50</w:t>
            </w:r>
          </w:p>
        </w:tc>
      </w:tr>
      <w:tr>
        <w:tc>
          <w:tcPr/>
          <w:p>
            <w:pPr>
              <w:pStyle w:val="Compact"/>
              <w:jc w:val="left"/>
            </w:pPr>
            <w:r>
              <w:t xml:space="preserve">    End-of-Life Treatment of Sold Products</w:t>
            </w:r>
          </w:p>
        </w:tc>
        <w:tc>
          <w:tcPr/>
          <w:p>
            <w:pPr>
              <w:pStyle w:val="Compact"/>
              <w:jc w:val="left"/>
            </w:pPr>
            <w:r>
              <w:t xml:space="preserve">-1.72</w:t>
            </w:r>
          </w:p>
        </w:tc>
      </w:tr>
      <w:tr>
        <w:tc>
          <w:tcPr/>
          <w:p>
            <w:pPr>
              <w:pStyle w:val="Compact"/>
              <w:jc w:val="left"/>
            </w:pPr>
            <w:r>
              <w:t xml:space="preserve">TOTAL PRODUCT CARBON FOOTPRINT (PCF)</w:t>
            </w:r>
          </w:p>
        </w:tc>
        <w:tc>
          <w:tcPr/>
          <w:p>
            <w:pPr>
              <w:pStyle w:val="Compact"/>
              <w:jc w:val="left"/>
            </w:pPr>
            <w:r>
              <w:t xml:space="preserve">176.72</w:t>
            </w:r>
          </w:p>
        </w:tc>
      </w:tr>
    </w:tbl>
    <w:p>
      <w:r>
        <w:pict>
          <v:rect style="width:0;height:1.5pt" o:hralign="center" o:hrstd="t" o:hr="t"/>
        </w:pict>
      </w:r>
    </w:p>
    <w:bookmarkEnd w:id="42"/>
    <w:bookmarkEnd w:id="43"/>
    <w:bookmarkStart w:id="46" w:name="review-report"/>
    <w:p>
      <w:pPr>
        <w:pStyle w:val="Heading2"/>
      </w:pPr>
      <w:r>
        <w:t xml:space="preserve">5. Review &amp; Report</w:t>
      </w:r>
    </w:p>
    <w:bookmarkStart w:id="44" w:name="hotspots-identification"/>
    <w:p>
      <w:pPr>
        <w:pStyle w:val="Heading3"/>
      </w:pPr>
      <w:r>
        <w:t xml:space="preserve">5.1 Hotspots Identification</w:t>
      </w:r>
    </w:p>
    <w:p>
      <w:pPr>
        <w:pStyle w:val="FirstParagraph"/>
      </w:pPr>
      <w:r>
        <w:t xml:space="preserve">The PCF analysis reveals the following hotspots in the Smart Home Hub\'s lifecycle:</w:t>
      </w:r>
    </w:p>
    <w:p>
      <w:pPr>
        <w:numPr>
          <w:ilvl w:val="0"/>
          <w:numId w:val="1020"/>
        </w:numPr>
        <w:pStyle w:val="Compact"/>
      </w:pPr>
      <w:r>
        <w:rPr>
          <w:bCs/>
          <w:b/>
        </w:rPr>
        <w:t xml:space="preserve">Use Phase (171.50 kgCO2e):</w:t>
      </w:r>
      <w:r>
        <w:t xml:space="preserve"> </w:t>
      </w:r>
      <w:r>
        <w:t xml:space="preserve">This is overwhelmingly the largest contributor to the product\'s carbon footprint, accounting for approximately 97% of the total. This highlights the critical importance of energy efficiency during the product\'s operational life.</w:t>
      </w:r>
    </w:p>
    <w:p>
      <w:pPr>
        <w:numPr>
          <w:ilvl w:val="0"/>
          <w:numId w:val="1020"/>
        </w:numPr>
        <w:pStyle w:val="Compact"/>
      </w:pPr>
      <w:r>
        <w:rPr>
          <w:bCs/>
          <w:b/>
        </w:rPr>
        <w:t xml:space="preserve">Material Acquisition (4.91 kgCO2e):</w:t>
      </w:r>
      <w:r>
        <w:t xml:space="preserve"> </w:t>
      </w:r>
      <w:r>
        <w:t xml:space="preserve">While significantly smaller than the use phase, the production of raw materials and components remains the second-largest contributor, representing about 2.8% of the total footprint. Specific materials like Aluminum and plastics contribute notably here.</w:t>
      </w:r>
    </w:p>
    <w:p>
      <w:pPr>
        <w:numPr>
          <w:ilvl w:val="0"/>
          <w:numId w:val="1020"/>
        </w:numPr>
        <w:pStyle w:val="Compact"/>
      </w:pPr>
      <w:r>
        <w:rPr>
          <w:bCs/>
          <w:b/>
        </w:rPr>
        <w:t xml:space="preserve">Manufacturing Energy (1.11 kgCO2e):</w:t>
      </w:r>
      <w:r>
        <w:t xml:space="preserve"> </w:t>
      </w:r>
      <w:r>
        <w:t xml:space="preserve">Although InnovateTech Solutions has a high renewable energy usage (85%), the remaining 15% from the grid still contributes to the footprint.</w:t>
      </w:r>
    </w:p>
    <w:p>
      <w:pPr>
        <w:numPr>
          <w:ilvl w:val="0"/>
          <w:numId w:val="1020"/>
        </w:numPr>
        <w:pStyle w:val="Compact"/>
      </w:pPr>
      <w:r>
        <w:rPr>
          <w:bCs/>
          <w:b/>
        </w:rPr>
        <w:t xml:space="preserve">Transportation (0.92 kgCO2e):</w:t>
      </w:r>
      <w:r>
        <w:t xml:space="preserve"> </w:t>
      </w:r>
      <w:r>
        <w:t xml:space="preserve">Both upstream and downstream logistics, including last-mile delivery, contribute to a smaller but still significant portion of the emissions.</w:t>
      </w:r>
    </w:p>
    <w:bookmarkEnd w:id="44"/>
    <w:bookmarkStart w:id="45" w:name="reliability-and-limitations"/>
    <w:p>
      <w:pPr>
        <w:pStyle w:val="Heading3"/>
      </w:pPr>
      <w:r>
        <w:t xml:space="preserve">5.2 Reliability and Limitations</w:t>
      </w:r>
    </w:p>
    <w:p>
      <w:pPr>
        <w:pStyle w:val="FirstParagraph"/>
      </w:pPr>
      <w:r>
        <w:t xml:space="preserve">The reliability of this report is high, based on the following:</w:t>
      </w:r>
    </w:p>
    <w:p>
      <w:pPr>
        <w:numPr>
          <w:ilvl w:val="0"/>
          <w:numId w:val="1021"/>
        </w:numPr>
        <w:pStyle w:val="Compact"/>
      </w:pPr>
      <w:r>
        <w:t xml:space="preserve">Adherence to the internationally recognized GHG Protocol Product Standard.</w:t>
      </w:r>
    </w:p>
    <w:p>
      <w:pPr>
        <w:numPr>
          <w:ilvl w:val="0"/>
          <w:numId w:val="1021"/>
        </w:numPr>
        <w:pStyle w:val="Compact"/>
      </w:pPr>
      <w:r>
        <w:t xml:space="preserve">Use of specific, detailed Bill of Materials data (xkxwlsxp) for material impact.</w:t>
      </w:r>
    </w:p>
    <w:p>
      <w:pPr>
        <w:numPr>
          <w:ilvl w:val="0"/>
          <w:numId w:val="1021"/>
        </w:numPr>
        <w:pStyle w:val="Compact"/>
      </w:pPr>
      <w:r>
        <w:t xml:space="preserve">Incorporation of customized data for transport distances, modes, energy usage, product lifespan, and end-of-life scenarios.</w:t>
      </w:r>
    </w:p>
    <w:p>
      <w:pPr>
        <w:numPr>
          <w:ilvl w:val="0"/>
          <w:numId w:val="1021"/>
        </w:numPr>
        <w:pStyle w:val="Compact"/>
      </w:pPr>
      <w:r>
        <w:t xml:space="preserve">Application of industry-standard emission factors (e.g., from Ecoinvent/DEFRA equivalents) where primary data was not available, ensuring consistency and comparability.</w:t>
      </w:r>
    </w:p>
    <w:p>
      <w:pPr>
        <w:numPr>
          <w:ilvl w:val="0"/>
          <w:numId w:val="1021"/>
        </w:numPr>
        <w:pStyle w:val="Compact"/>
      </w:pPr>
      <w:r>
        <w:rPr>
          <w:bCs/>
          <w:b/>
        </w:rPr>
        <w:t xml:space="preserve">Scope 3 Compliance:</w:t>
      </w:r>
      <w:r>
        <w:t xml:space="preserve"> </w:t>
      </w:r>
      <w:r>
        <w:t xml:space="preserve">The analysis covers the most significant Scope 3 categories: Purchased Goods &amp; Services, Upstream/Downstream Transportation, Use of Sold Products, and End-of-Life. These categories are estimated to provide well over 95% coverage of the product\'s total Scope 3 emissions, in line with 2026 reporting requirements.</w:t>
      </w:r>
    </w:p>
    <w:p>
      <w:pPr>
        <w:numPr>
          <w:ilvl w:val="0"/>
          <w:numId w:val="1021"/>
        </w:numPr>
        <w:pStyle w:val="Compact"/>
      </w:pPr>
      <w:r>
        <w:rPr>
          <w:bCs/>
          <w:b/>
        </w:rPr>
        <w:t xml:space="preserve">LSR Standard Application:</w:t>
      </w:r>
      <w:r>
        <w:t xml:space="preserve"> </w:t>
      </w:r>
      <w:r>
        <w:t xml:space="preserve">The principles of the 2026 Land Sector and Removals (LSR) Standard have been considered. Although direct land-use emissions are not a primary factor for this electronic product, the standard provides a framework for future inclusion of biogenic carbon or land-based removals if relevant to product design or supply chain changes.</w:t>
      </w:r>
    </w:p>
    <w:p>
      <w:pPr>
        <w:pStyle w:val="FirstParagraph"/>
      </w:pPr>
      <w:r>
        <w:t xml:space="preserve">Limitations include:</w:t>
      </w:r>
    </w:p>
    <w:p>
      <w:pPr>
        <w:numPr>
          <w:ilvl w:val="0"/>
          <w:numId w:val="1022"/>
        </w:numPr>
        <w:pStyle w:val="Compact"/>
      </w:pPr>
      <w:r>
        <w:t xml:space="preserve">Reliance on assumed average emission factors for certain generic processes (e.g., country-specific grid mixes, general transport modes) due to the nature of secondary data.</w:t>
      </w:r>
    </w:p>
    <w:p>
      <w:pPr>
        <w:numPr>
          <w:ilvl w:val="0"/>
          <w:numId w:val="1022"/>
        </w:numPr>
        <w:pStyle w:val="Compact"/>
      </w:pPr>
      <w:r>
        <w:t xml:space="preserve">The \'Total Carbon\' values within the provided BOM (xkxwlsxp) are taken as given, without further disaggregation of their underlying calculation methodology.</w:t>
      </w:r>
    </w:p>
    <w:p>
      <w:pPr>
        <w:numPr>
          <w:ilvl w:val="0"/>
          <w:numId w:val="1022"/>
        </w:numPr>
        <w:pStyle w:val="Compact"/>
      </w:pPr>
      <w:r>
        <w:t xml:space="preserve">Future updates to emission factors and methodologies (e.g., full guidance for the LSR Standard expected in Q2 2026) may lead to minor adjustments in the calculated footprint.</w:t>
      </w:r>
    </w:p>
    <w:p>
      <w:r>
        <w:pict>
          <v:rect style="width:0;height:1.5pt" o:hralign="center" o:hrstd="t" o:hr="t"/>
        </w:pict>
      </w:r>
    </w:p>
    <w:bookmarkEnd w:id="45"/>
    <w:bookmarkEnd w:id="46"/>
    <w:bookmarkStart w:id="49" w:name="key-insights-recommendations"/>
    <w:p>
      <w:pPr>
        <w:pStyle w:val="Heading2"/>
      </w:pPr>
      <w:r>
        <w:t xml:space="preserve">Key Insights &amp; Recommendations</w:t>
      </w:r>
    </w:p>
    <w:p>
      <w:pPr>
        <w:numPr>
          <w:ilvl w:val="0"/>
          <w:numId w:val="1023"/>
        </w:numPr>
        <w:pStyle w:val="Compact"/>
      </w:pPr>
      <w:r>
        <w:rPr>
          <w:bCs/>
          <w:b/>
        </w:rPr>
        <w:t xml:space="preserve">Prioritize Use Phase Efficiency:</w:t>
      </w:r>
      <w:r>
        <w:t xml:space="preserve"> </w:t>
      </w:r>
      <w:r>
        <w:t xml:space="preserve">Given that the use phase accounts for ~97% of the PCF, significant efforts should be directed towards reducing the product\'s energy consumption during operation. This could involve software optimizations, low-power components, or encouraging user behavior for energy saving.</w:t>
      </w:r>
    </w:p>
    <w:p>
      <w:pPr>
        <w:numPr>
          <w:ilvl w:val="0"/>
          <w:numId w:val="1023"/>
        </w:numPr>
        <w:pStyle w:val="Compact"/>
      </w:pPr>
      <w:r>
        <w:rPr>
          <w:bCs/>
          <w:b/>
        </w:rPr>
        <w:t xml:space="preserve">Supply Chain Decarbonization:</w:t>
      </w:r>
      <w:r>
        <w:t xml:space="preserve"> </w:t>
      </w:r>
      <w:r>
        <w:t xml:space="preserve">Continue to work with suppliers to reduce the embedded carbon in materials, potentially through sourcing from suppliers with lower carbon footprints or exploring alternative, lower-impact materials.</w:t>
      </w:r>
    </w:p>
    <w:p>
      <w:pPr>
        <w:numPr>
          <w:ilvl w:val="0"/>
          <w:numId w:val="1023"/>
        </w:numPr>
        <w:pStyle w:val="Compact"/>
      </w:pPr>
      <w:r>
        <w:rPr>
          <w:bCs/>
          <w:b/>
        </w:rPr>
        <w:t xml:space="preserve">Renewable Energy Expansion:</w:t>
      </w:r>
      <w:r>
        <w:t xml:space="preserve"> </w:t>
      </w:r>
      <w:r>
        <w:t xml:space="preserve">Maintain and ideally increase renewable energy procurement for manufacturing operations. Explore opportunities for direct renewable energy generation at facilities.</w:t>
      </w:r>
    </w:p>
    <w:p>
      <w:pPr>
        <w:numPr>
          <w:ilvl w:val="0"/>
          <w:numId w:val="1023"/>
        </w:numPr>
        <w:pStyle w:val="Compact"/>
      </w:pPr>
      <w:r>
        <w:rPr>
          <w:bCs/>
          <w:b/>
        </w:rPr>
        <w:t xml:space="preserve">Optimize Logistics:</w:t>
      </w:r>
      <w:r>
        <w:t xml:space="preserve"> </w:t>
      </w:r>
      <w:r>
        <w:t xml:space="preserve">Investigate further optimizations in transport, such as shifting to lower-emission freight modes where feasible, optimizing routes, and considering local sourcing when viable to reduce distances.</w:t>
      </w:r>
    </w:p>
    <w:p>
      <w:pPr>
        <w:numPr>
          <w:ilvl w:val="0"/>
          <w:numId w:val="1023"/>
        </w:numPr>
        <w:pStyle w:val="Compact"/>
      </w:pPr>
      <w:r>
        <w:rPr>
          <w:bCs/>
          <w:b/>
        </w:rPr>
        <w:t xml:space="preserve">Strengthen Circularity:</w:t>
      </w:r>
      <w:r>
        <w:t xml:space="preserve"> </w:t>
      </w:r>
      <w:r>
        <w:t xml:space="preserve">Continue to promote and expand the comprehensive take-back and material recovery programs. Explore design-for-disassembly to maximize the yield and quality of recycled materials.</w:t>
      </w:r>
    </w:p>
    <w:p>
      <w:pPr>
        <w:numPr>
          <w:ilvl w:val="0"/>
          <w:numId w:val="1023"/>
        </w:numPr>
        <w:pStyle w:val="Compact"/>
      </w:pPr>
      <w:r>
        <w:rPr>
          <w:bCs/>
          <w:b/>
        </w:rPr>
        <w:t xml:space="preserve">Future-Proofing with LSR Standard:</w:t>
      </w:r>
      <w:r>
        <w:t xml:space="preserve"> </w:t>
      </w:r>
      <w:r>
        <w:t xml:space="preserve">While not a primary driver for this product, monitor updates to the GHG Protocol\'s LSR Standard, especially if InnovateTech Solutions plans to incorporate bio-based materials or engage in carbon removal activities in its product portfolio.</w:t>
      </w:r>
    </w:p>
    <w:p>
      <w:pPr>
        <w:pStyle w:val="FirstParagraph"/>
      </w:pPr>
      <w:r>
        <w:t xml:space="preserve">Confidential - Internal Use Only</w:t>
      </w:r>
    </w:p>
    <w:p>
      <w:pPr>
        <w:pStyle w:val="BodyText"/>
      </w:pPr>
      <w:r>
        <w:t xml:space="preserve">Page</w:t>
      </w:r>
      <w:r>
        <w:t xml:space="preserve"> </w:t>
      </w:r>
      <w:bookmarkStart w:id="47" w:name="page-num"/>
      <w:r>
        <w:t xml:space="preserve">1</w:t>
      </w:r>
      <w:bookmarkEnd w:id="47"/>
      <w:r>
        <w:t xml:space="preserve"> </w:t>
      </w:r>
      <w:r>
        <w:t xml:space="preserve">of</w:t>
      </w:r>
      <w:r>
        <w:t xml:space="preserve"> </w:t>
      </w:r>
      <w:bookmarkStart w:id="48" w:name="total-pages"/>
      <w:r>
        <w:t xml:space="preserve">1</w:t>
      </w:r>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Home Hub (xsdlpgrtqi)</dc:title>
  <dc:creator/>
  <dc:description>High-detail Product Carbon Footprint (PCF) analysis report for \'Smart Home Hub\' by InnovateTech Solutions (fzspptodfd), adhering to GHG Protocol and 2026 LSR Update.</dc:description>
  <dc:language>en</dc:language>
  <cp:keywords/>
  <dcterms:created xsi:type="dcterms:W3CDTF">2026-07-15T18:37:07Z</dcterms:created>
  <dcterms:modified xsi:type="dcterms:W3CDTF">2026-07-15T18:37:07Z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