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(nkudlkdhph)</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smart-home-hub-nkudlkdhph"/>
    <w:p>
      <w:pPr>
        <w:pStyle w:val="Heading2"/>
      </w:pPr>
      <w:r>
        <w:t xml:space="preserve">for Smart Home Hub (nkudlkdhph)</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InnovateTech Solutions (xxdvugnfte)</w:t>
      </w:r>
    </w:p>
    <w:p>
      <w:pPr>
        <w:pStyle w:val="BodyText"/>
      </w:pPr>
      <w:r>
        <w:rPr>
          <w:bCs/>
          <w:b/>
        </w:rPr>
        <w:t xml:space="preserve">Senior Sustainability Consultant:</w:t>
      </w:r>
      <w:r>
        <w:t xml:space="preserve"> </w:t>
      </w:r>
      <w:r>
        <w:t xml:space="preserve">hszywlipxd</w:t>
      </w:r>
    </w:p>
    <w:p>
      <w:pPr>
        <w:pStyle w:val="BodyText"/>
      </w:pPr>
      <w:r>
        <w:t xml:space="preserve">This report is generated based on available data and industry standards, providing an estimate of the product\'s carbon footprint.</w:t>
      </w:r>
    </w:p>
    <w:bookmarkEnd w:id="20"/>
    <w:bookmarkEnd w:id="21"/>
    <w:bookmarkStart w:id="43" w:name="Xdfc8637d670317277b9bcb78b3490776378d37e"/>
    <w:p>
      <w:pPr>
        <w:pStyle w:val="Heading1"/>
      </w:pPr>
      <w:r>
        <w:t xml:space="preserve">Product Carbon Footprint (PCF) Analysis Report for Smart Home Hub (nkudlkdhph)</w:t>
      </w:r>
    </w:p>
    <w:p>
      <w:pPr>
        <w:pStyle w:val="FirstParagraph"/>
      </w:pPr>
      <w:r>
        <w:rPr>
          <w:bCs/>
          <w:b/>
        </w:rPr>
        <w:t xml:space="preserve">Generated Date:</w:t>
      </w:r>
      <w:r>
        <w:t xml:space="preserve"> </w:t>
      </w:r>
      <w:r>
        <w:t xml:space="preserve">Wednesday, May 20, 2026</w:t>
      </w:r>
    </w:p>
    <w:p>
      <w:pPr>
        <w:pStyle w:val="BodyText"/>
      </w:pPr>
      <w:r>
        <w:rPr>
          <w:bCs/>
          <w:b/>
        </w:rPr>
        <w:t xml:space="preserve">Senior Sustainability Consultant:</w:t>
      </w:r>
      <w:r>
        <w:t xml:space="preserve"> </w:t>
      </w:r>
      <w:r>
        <w:t xml:space="preserve">hszywlipxd</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Home Hub" (nkudlkdhph) manufactured by InnovateTech Solutions (xxdvugnfte). The analysis adheres to the GHG Protocol Product Life Cycle Accounting and Reporting Standard, incorporating the latest 2026 Land Sector and Removals (LSR) Standard updates and targeting a comprehensive 95% coverage for Scope 3 emissions. The goal is to quantify greenhouse gas (GHG) emissions across the product\'s lifecycle, identify emission hotspots, and provide insights for reduction strategies.</w:t>
      </w:r>
    </w:p>
    <w:p>
      <w:r>
        <w:pict>
          <v:rect style="width:0;height:1.5pt" o:hralign="center" o:hrstd="t" o:hr="t"/>
        </w:pict>
      </w:r>
    </w:p>
    <w:bookmarkEnd w:id="22"/>
    <w:bookmarkStart w:id="23" w:name="methodology"/>
    <w:p>
      <w:pPr>
        <w:pStyle w:val="Heading2"/>
      </w:pPr>
      <w:r>
        <w:t xml:space="preserve">1. Methodology</w:t>
      </w:r>
    </w:p>
    <w:p>
      <w:pPr>
        <w:pStyle w:val="FirstParagraph"/>
      </w:pPr>
      <w:r>
        <w:t xml:space="preserve">The Product Carbon Footprint (PCF) analysis was conducted following the five-step methodology prescribed by the GHG Protocol:</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stages, from raw material extraction to end-of-life.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and transport activities.</w:t>
      </w:r>
    </w:p>
    <w:p>
      <w:pPr>
        <w:numPr>
          <w:ilvl w:val="0"/>
          <w:numId w:val="1001"/>
        </w:numPr>
        <w:pStyle w:val="Compact"/>
      </w:pPr>
      <w:r>
        <w:rPr>
          <w:bCs/>
          <w:b/>
        </w:rPr>
        <w:t xml:space="preserve">Calculate Emissions:</w:t>
      </w:r>
      <w:r>
        <w:t xml:space="preserve"> </w:t>
      </w:r>
      <w:r>
        <w:t xml:space="preserve">Quantification of GHG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reliability, and reporting of findings and recommendations.</w:t>
      </w:r>
    </w:p>
    <w:p>
      <w:pPr>
        <w:pStyle w:val="FirstParagraph"/>
      </w:pPr>
      <w:r>
        <w:t xml:space="preserve">Emissions are categorized into Scope 1 (direct emissions from owned or controlled sources), Scope 2 (indirect emissions from purchased electricity, heat, or steam), and Scope 3 (all other indirect emissions in the value chain). This report ensures at least 95% coverage for Scope 3 reporting, aligning with 2026 requirements.</w:t>
      </w:r>
    </w:p>
    <w:p>
      <w:pPr>
        <w:pStyle w:val="BodyText"/>
      </w:pPr>
      <w:r>
        <w:t xml:space="preserve">The 2026 Land Sector and Removals (LSR) Standard has been considered, providing requirements and guidance for accounting for land emissions and CO₂ removals. While direct land-use change for the manufacturing of a Smart Home Hub is generally minimal, the principles of transparent and robust accounting for any land-related impacts in the supply chain or potential carbon removal activities are integrated into the overall framework. The LSR Standard is effective from January 1, 2027, but companies are encouraged to prepare in 2026.</w:t>
      </w:r>
    </w:p>
    <w:p>
      <w:r>
        <w:pict>
          <v:rect style="width:0;height:1.5pt" o:hralign="center" o:hrstd="t" o:hr="t"/>
        </w:pict>
      </w:r>
    </w:p>
    <w:bookmarkEnd w:id="23"/>
    <w:bookmarkStart w:id="24" w:name="scope-definition"/>
    <w:p>
      <w:pPr>
        <w:pStyle w:val="Heading2"/>
      </w:pPr>
      <w:r>
        <w:t xml:space="preserve">2. Scope Definition</w:t>
      </w:r>
    </w:p>
    <w:p>
      <w:pPr>
        <w:numPr>
          <w:ilvl w:val="0"/>
          <w:numId w:val="1002"/>
        </w:numPr>
        <w:pStyle w:val="Compact"/>
      </w:pPr>
      <w:r>
        <w:rPr>
          <w:bCs/>
          <w:b/>
        </w:rPr>
        <w:t xml:space="preserve">Functional Unit:</w:t>
      </w:r>
      <w:r>
        <w:t xml:space="preserve"> </w:t>
      </w:r>
      <w:r>
        <w:t xml:space="preserve">1.0 unit of Smart Home Hub (nkudlkdhph).</w:t>
      </w:r>
    </w:p>
    <w:p>
      <w:pPr>
        <w:numPr>
          <w:ilvl w:val="0"/>
          <w:numId w:val="1002"/>
        </w:numPr>
        <w:pStyle w:val="Compact"/>
      </w:pPr>
      <w:r>
        <w:rPr>
          <w:bCs/>
          <w:b/>
        </w:rPr>
        <w:t xml:space="preserve">System Boundary:</w:t>
      </w:r>
      <w:r>
        <w:t xml:space="preserve"> </w:t>
      </w:r>
      <w:r>
        <w:t xml:space="preserve">Factory-gate to cradle-to-grave (including material acquisition, production, transport, use,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Emissions are allocated directly to the product based on mass and energy consumption. For multi-product processes, physical allocation (e.g., by mass) is assumed where necessary, though direct attribution is prioritized.</w:t>
      </w:r>
    </w:p>
    <w:p>
      <w:r>
        <w:pict>
          <v:rect style="width:0;height:1.5pt" o:hralign="center" o:hrstd="t" o:hr="t"/>
        </w:pict>
      </w:r>
    </w:p>
    <w:bookmarkEnd w:id="24"/>
    <w:bookmarkStart w:id="33" w:name="Xfb19d101eca9f89879e43a035837baa721eebe8"/>
    <w:p>
      <w:pPr>
        <w:pStyle w:val="Heading2"/>
      </w:pPr>
      <w:r>
        <w:t xml:space="preserve">3. Lifecycle Inventory Mapping and Data Collection</w:t>
      </w:r>
    </w:p>
    <w:p>
      <w:pPr>
        <w:pStyle w:val="FirstParagraph"/>
      </w:pPr>
      <w:r>
        <w:t xml:space="preserve">This section details the inputs and activities across the product\'s lifecycle, along with the corresponding data sources and assumed emission factors.</w:t>
      </w:r>
    </w:p>
    <w:bookmarkStart w:id="25" w:name="X0e84286f2d98c93fdf20e5ac7cffcea2bd78d27"/>
    <w:p>
      <w:pPr>
        <w:pStyle w:val="Heading3"/>
      </w:pPr>
      <w:r>
        <w:t xml:space="preserve">3.1. Materials Acquisition &amp; Pre-processing (Detailed Bill of Materials - BOM)</w:t>
      </w:r>
    </w:p>
    <w:p>
      <w:pPr>
        <w:pStyle w:val="FirstParagraph"/>
      </w:pPr>
      <w:r>
        <w:t xml:space="preserve">The following Bill of Materials (BOM) for the Smart Home Hub (nkudlkdhph) was used to calculate the upstream material impacts. Emission factors are representative of cradle-to-gate emissions for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ABS 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FR4 Composite</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1.500</w:t>
            </w:r>
          </w:p>
        </w:tc>
      </w:tr>
      <w:tr>
        <w:tc>
          <w:tcPr/>
          <w:p>
            <w:pPr>
              <w:pStyle w:val="Compact"/>
              <w:jc w:val="left"/>
            </w:pPr>
            <w:r>
              <w:t xml:space="preserve">M003</w:t>
            </w:r>
          </w:p>
        </w:tc>
        <w:tc>
          <w:tcPr/>
          <w:p>
            <w:pPr>
              <w:pStyle w:val="Compact"/>
              <w:jc w:val="left"/>
            </w:pPr>
            <w:r>
              <w:t xml:space="preserve">Processor Chipset</w:t>
            </w:r>
          </w:p>
        </w:tc>
        <w:tc>
          <w:tcPr/>
          <w:p>
            <w:pPr>
              <w:pStyle w:val="Compact"/>
              <w:jc w:val="left"/>
            </w:pPr>
            <w:r>
              <w:t xml:space="preserve">Silicon/Mixed Metals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2.500</w:t>
            </w:r>
          </w:p>
        </w:tc>
      </w:tr>
      <w:tr>
        <w:tc>
          <w:tcPr/>
          <w:p>
            <w:pPr>
              <w:pStyle w:val="Compact"/>
              <w:jc w:val="left"/>
            </w:pPr>
            <w:r>
              <w:t xml:space="preserve">M004</w:t>
            </w:r>
          </w:p>
        </w:tc>
        <w:tc>
          <w:tcPr/>
          <w:p>
            <w:pPr>
              <w:pStyle w:val="Compact"/>
              <w:jc w:val="left"/>
            </w:pPr>
            <w:r>
              <w:t xml:space="preserve">Memory Modules</w:t>
            </w:r>
          </w:p>
        </w:tc>
        <w:tc>
          <w:tcPr/>
          <w:p>
            <w:pPr>
              <w:pStyle w:val="Compact"/>
              <w:jc w:val="left"/>
            </w:pPr>
            <w:r>
              <w:t xml:space="preserve">Silicon/Mixed Metals</w:t>
            </w:r>
          </w:p>
        </w:tc>
        <w:tc>
          <w:tcPr/>
          <w:p>
            <w:pPr>
              <w:pStyle w:val="Compact"/>
              <w:jc w:val="left"/>
            </w:pPr>
            <w:r>
              <w:t xml:space="preserve">Semiconductor Mfg.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30.000</w:t>
            </w:r>
          </w:p>
        </w:tc>
        <w:tc>
          <w:tcPr/>
          <w:p>
            <w:pPr>
              <w:pStyle w:val="Compact"/>
              <w:jc w:val="left"/>
            </w:pPr>
            <w:r>
              <w:t xml:space="preserve">0.900</w:t>
            </w:r>
          </w:p>
        </w:tc>
      </w:tr>
      <w:tr>
        <w:tc>
          <w:tcPr/>
          <w:p>
            <w:pPr>
              <w:pStyle w:val="Compact"/>
              <w:jc w:val="left"/>
            </w:pPr>
            <w:r>
              <w:t xml:space="preserve">M005</w:t>
            </w:r>
          </w:p>
        </w:tc>
        <w:tc>
          <w:tcPr/>
          <w:p>
            <w:pPr>
              <w:pStyle w:val="Compact"/>
              <w:jc w:val="left"/>
            </w:pPr>
            <w:r>
              <w:t xml:space="preserve">Connectors &amp; Cables</w:t>
            </w:r>
          </w:p>
        </w:tc>
        <w:tc>
          <w:tcPr/>
          <w:p>
            <w:pPr>
              <w:pStyle w:val="Compact"/>
              <w:jc w:val="left"/>
            </w:pPr>
            <w:r>
              <w:t xml:space="preserve">Copper/Plastic</w:t>
            </w:r>
          </w:p>
        </w:tc>
        <w:tc>
          <w:tcPr/>
          <w:p>
            <w:pPr>
              <w:pStyle w:val="Compact"/>
              <w:jc w:val="left"/>
            </w:pPr>
            <w:r>
              <w:t xml:space="preserve">Extrusion/Assembly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4.000</w:t>
            </w:r>
          </w:p>
        </w:tc>
        <w:tc>
          <w:tcPr/>
          <w:p>
            <w:pPr>
              <w:pStyle w:val="Compact"/>
              <w:jc w:val="left"/>
            </w:pPr>
            <w:r>
              <w:t xml:space="preserve">0.200</w:t>
            </w:r>
          </w:p>
        </w:tc>
      </w:tr>
      <w:tr>
        <w:tc>
          <w:tcPr/>
          <w:p>
            <w:pPr>
              <w:pStyle w:val="Compact"/>
              <w:jc w:val="left"/>
            </w:pPr>
            <w:r>
              <w:t xml:space="preserve">M006</w:t>
            </w:r>
          </w:p>
        </w:tc>
        <w:tc>
          <w:tcPr/>
          <w:p>
            <w:pPr>
              <w:pStyle w:val="Compact"/>
              <w:jc w:val="left"/>
            </w:pPr>
            <w:r>
              <w:t xml:space="preserve">Packaging</w:t>
            </w:r>
          </w:p>
        </w:tc>
        <w:tc>
          <w:tcPr/>
          <w:p>
            <w:pPr>
              <w:pStyle w:val="Compact"/>
              <w:jc w:val="left"/>
            </w:pPr>
            <w:r>
              <w:t xml:space="preserve">Recycled Cardboard</w:t>
            </w:r>
          </w:p>
        </w:tc>
        <w:tc>
          <w:tcPr/>
          <w:p>
            <w:pPr>
              <w:pStyle w:val="Compact"/>
              <w:jc w:val="left"/>
            </w:pPr>
            <w:r>
              <w:t xml:space="preserve">Pulp &amp; Paper Mfg.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0.500</w:t>
            </w:r>
          </w:p>
        </w:tc>
        <w:tc>
          <w:tcPr/>
          <w:p>
            <w:pPr>
              <w:pStyle w:val="Compact"/>
              <w:jc w:val="left"/>
            </w:pPr>
            <w:r>
              <w:t xml:space="preserve">0.050</w:t>
            </w:r>
          </w:p>
        </w:tc>
      </w:tr>
      <w:tr>
        <w:tc>
          <w:tcPr/>
          <w:p>
            <w:pPr>
              <w:pStyle w:val="Compact"/>
              <w:jc w:val="left"/>
            </w:pPr>
            <w:r>
              <w:t xml:space="preserve">M007</w:t>
            </w:r>
          </w:p>
        </w:tc>
        <w:tc>
          <w:tcPr/>
          <w:p>
            <w:pPr>
              <w:pStyle w:val="Compact"/>
              <w:jc w:val="left"/>
            </w:pPr>
            <w:r>
              <w:t xml:space="preserve">Lithium-ion Battery</w:t>
            </w:r>
          </w:p>
        </w:tc>
        <w:tc>
          <w:tcPr/>
          <w:p>
            <w:pPr>
              <w:pStyle w:val="Compact"/>
              <w:jc w:val="left"/>
            </w:pPr>
            <w:r>
              <w:t xml:space="preserve">Li-ion Cells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20.000</w:t>
            </w:r>
          </w:p>
        </w:tc>
        <w:tc>
          <w:tcPr/>
          <w:p>
            <w:pPr>
              <w:pStyle w:val="Compact"/>
              <w:jc w:val="left"/>
            </w:pPr>
            <w:r>
              <w:t xml:space="preserve">1.000</w:t>
            </w:r>
          </w:p>
        </w:tc>
      </w:tr>
      <w:tr>
        <w:tc>
          <w:tcPr>
            <w:gridSpan w:val="7"/>
          </w:tcPr>
          <w:p>
            <w:pPr>
              <w:pStyle w:val="Compact"/>
              <w:jc w:val="left"/>
            </w:pPr>
            <w:r>
              <w:rPr>
                <w:bCs/>
                <w:b/>
              </w:rPr>
              <w:t xml:space="preserve">Total Material Acquisition Emissions (Scope 3 - Upstream)</w:t>
            </w:r>
          </w:p>
        </w:tc>
        <w:tc>
          <w:tcPr/>
          <w:p>
            <w:pPr>
              <w:pStyle w:val="Compact"/>
              <w:jc w:val="left"/>
            </w:pPr>
            <w:r>
              <w:rPr>
                <w:bCs/>
                <w:b/>
              </w:rPr>
              <w:t xml:space="preserve">6.775 kg CO2e</w:t>
            </w:r>
          </w:p>
        </w:tc>
      </w:tr>
    </w:tbl>
    <w:bookmarkEnd w:id="25"/>
    <w:bookmarkStart w:id="26" w:name="X9ca294543569796a3dd8d1a676b950d7c3fa656"/>
    <w:p>
      <w:pPr>
        <w:pStyle w:val="Heading3"/>
      </w:pPr>
      <w:r>
        <w:t xml:space="preserve">3.2. Production Phase (Company: InnovateTech Solutions)</w:t>
      </w:r>
    </w:p>
    <w:p>
      <w:pPr>
        <w:pStyle w:val="FirstParagraph"/>
      </w:pPr>
      <w:r>
        <w:t xml:space="preserve">The production of the Smart Home Hub takes place in China. Energy consumption and renewable energy usage are critical factors in this stage.</w:t>
      </w:r>
    </w:p>
    <w:p>
      <w:pPr>
        <w:numPr>
          <w:ilvl w:val="0"/>
          <w:numId w:val="1003"/>
        </w:numPr>
        <w:pStyle w:val="Compact"/>
      </w:pPr>
      <w:r>
        <w:rPr>
          <w:bCs/>
          <w:b/>
        </w:rPr>
        <w:t xml:space="preserve">Energy Intensity (kWh/unit):</w:t>
      </w:r>
      <w:r>
        <w:t xml:space="preserve"> </w:t>
      </w:r>
      <w:r>
        <w:t xml:space="preserve">0.5 kWh/unit</w:t>
      </w:r>
    </w:p>
    <w:p>
      <w:pPr>
        <w:numPr>
          <w:ilvl w:val="0"/>
          <w:numId w:val="1003"/>
        </w:numPr>
        <w:pStyle w:val="Compact"/>
      </w:pPr>
      <w:r>
        <w:rPr>
          <w:bCs/>
          <w:b/>
        </w:rPr>
        <w:t xml:space="preserve">Renewable Energy Usage:</w:t>
      </w:r>
      <w:r>
        <w:t xml:space="preserve"> </w:t>
      </w:r>
      <w:r>
        <w:t xml:space="preserve">70%</w:t>
      </w:r>
    </w:p>
    <w:p>
      <w:pPr>
        <w:numPr>
          <w:ilvl w:val="0"/>
          <w:numId w:val="1003"/>
        </w:numPr>
        <w:pStyle w:val="Compact"/>
      </w:pPr>
      <w:r>
        <w:rPr>
          <w:bCs/>
          <w:b/>
        </w:rPr>
        <w:t xml:space="preserve">Grid Electricity Emission Factor (China):</w:t>
      </w:r>
      <w:r>
        <w:t xml:space="preserve"> </w:t>
      </w:r>
      <w:r>
        <w:t xml:space="preserve">0.55 kg CO2e/kWh (estimated for 2026)</w:t>
      </w:r>
    </w:p>
    <w:p>
      <w:pPr>
        <w:pStyle w:val="FirstParagraph"/>
      </w:pPr>
      <w:r>
        <w:rPr>
          <w:bCs/>
          <w:b/>
        </w:rPr>
        <w:t xml:space="preserve">Calculation:</w:t>
      </w:r>
    </w:p>
    <w:p>
      <w:pPr>
        <w:numPr>
          <w:ilvl w:val="0"/>
          <w:numId w:val="1004"/>
        </w:numPr>
        <w:pStyle w:val="Compact"/>
      </w:pPr>
      <w:r>
        <w:t xml:space="preserve">Non-renewable electricity used = 0.5 kWh/unit * (1 - 0.70) = 0.15 kWh/unit</w:t>
      </w:r>
    </w:p>
    <w:p>
      <w:pPr>
        <w:numPr>
          <w:ilvl w:val="0"/>
          <w:numId w:val="1004"/>
        </w:numPr>
        <w:pStyle w:val="Compact"/>
      </w:pPr>
      <w:r>
        <w:t xml:space="preserve">Emissions from purchased electricity = 0.15 kWh/unit * 0.55 kg CO2e/kWh = 0.0825 kg CO2e/unit</w:t>
      </w:r>
    </w:p>
    <w:p>
      <w:pPr>
        <w:pStyle w:val="FirstParagraph"/>
      </w:pPr>
      <w:r>
        <w:rPr>
          <w:bCs/>
          <w:b/>
        </w:rPr>
        <w:t xml:space="preserve">Total Production Emissions (Scope 2): 0.0825 kg CO2e/unit</w:t>
      </w:r>
    </w:p>
    <w:bookmarkEnd w:id="26"/>
    <w:bookmarkStart w:id="30" w:name="transport-and-logistics"/>
    <w:p>
      <w:pPr>
        <w:pStyle w:val="Heading3"/>
      </w:pPr>
      <w:r>
        <w:t xml:space="preserve">3.3. Transport and Logistics</w:t>
      </w:r>
    </w:p>
    <w:p>
      <w:pPr>
        <w:pStyle w:val="FirstParagraph"/>
      </w:pPr>
      <w:r>
        <w:t xml:space="preserve">Logistics cover both upstream (material delivery to factory) and downstream (product delivery to customer). Product weight for transport calculation is assumed to be 0.6 kg (total mass from BOM).</w:t>
      </w:r>
    </w:p>
    <w:p>
      <w:pPr>
        <w:numPr>
          <w:ilvl w:val="0"/>
          <w:numId w:val="1005"/>
        </w:numPr>
        <w:pStyle w:val="Compact"/>
      </w:pPr>
      <w:r>
        <w:rPr>
          <w:bCs/>
          <w:b/>
        </w:rPr>
        <w:t xml:space="preserve">Transport Mode (Main Leg):</w:t>
      </w:r>
      <w:r>
        <w:t xml:space="preserve"> </w:t>
      </w:r>
      <w:r>
        <w:t xml:space="preserve">Road Freight (Heavy Goods Vehicle &gt; 20t)</w:t>
      </w:r>
    </w:p>
    <w:p>
      <w:pPr>
        <w:numPr>
          <w:ilvl w:val="0"/>
          <w:numId w:val="1005"/>
        </w:numPr>
        <w:pStyle w:val="Compact"/>
      </w:pPr>
      <w:r>
        <w:rPr>
          <w:bCs/>
          <w:b/>
        </w:rPr>
        <w:t xml:space="preserve">Last-Mile Delivery Channel:</w:t>
      </w:r>
      <w:r>
        <w:t xml:space="preserve"> </w:t>
      </w:r>
      <w:r>
        <w:t xml:space="preserve">Parcel Service Van</w:t>
      </w:r>
    </w:p>
    <w:bookmarkStart w:id="27" w:name="X362f574fb748f4b1dc5dab75970b33fa0b2ce4d"/>
    <w:p>
      <w:pPr>
        <w:pStyle w:val="Heading4"/>
      </w:pPr>
      <w:r>
        <w:t xml:space="preserve">3.3.1. Upstream Transportation (Europe to China Factory) - Scope 3 (Upstream)</w:t>
      </w:r>
    </w:p>
    <w:p>
      <w:pPr>
        <w:numPr>
          <w:ilvl w:val="0"/>
          <w:numId w:val="1006"/>
        </w:numPr>
        <w:pStyle w:val="Compact"/>
      </w:pPr>
      <w:r>
        <w:rPr>
          <w:bCs/>
          <w:b/>
        </w:rPr>
        <w:t xml:space="preserve">Distance:</w:t>
      </w:r>
      <w:r>
        <w:t xml:space="preserve"> </w:t>
      </w:r>
      <w:r>
        <w:t xml:space="preserve">8,000 km (Assumed average for components from Europe to China)</w:t>
      </w:r>
    </w:p>
    <w:p>
      <w:pPr>
        <w:numPr>
          <w:ilvl w:val="0"/>
          <w:numId w:val="1006"/>
        </w:numPr>
        <w:pStyle w:val="Compact"/>
      </w:pPr>
      <w:r>
        <w:rPr>
          <w:bCs/>
          <w:b/>
        </w:rPr>
        <w:t xml:space="preserve">Transport Mode:</w:t>
      </w:r>
      <w:r>
        <w:t xml:space="preserve"> </w:t>
      </w:r>
      <w:r>
        <w:t xml:space="preserve">Road Freight (HGV &gt; 20t)</w:t>
      </w:r>
    </w:p>
    <w:p>
      <w:pPr>
        <w:numPr>
          <w:ilvl w:val="0"/>
          <w:numId w:val="1006"/>
        </w:numPr>
        <w:pStyle w:val="Compact"/>
      </w:pPr>
      <w:r>
        <w:rPr>
          <w:bCs/>
          <w:b/>
        </w:rPr>
        <w:t xml:space="preserve">Emission Factor:</w:t>
      </w:r>
      <w:r>
        <w:t xml:space="preserve"> </w:t>
      </w:r>
      <w:r>
        <w:t xml:space="preserve">0.092 kg CO2e/tonne-km</w:t>
      </w:r>
    </w:p>
    <w:p>
      <w:pPr>
        <w:pStyle w:val="FirstParagraph"/>
      </w:pPr>
      <w:r>
        <w:rPr>
          <w:bCs/>
          <w:b/>
        </w:rPr>
        <w:t xml:space="preserve">Calculation:</w:t>
      </w:r>
    </w:p>
    <w:p>
      <w:pPr>
        <w:numPr>
          <w:ilvl w:val="0"/>
          <w:numId w:val="1007"/>
        </w:numPr>
        <w:pStyle w:val="Compact"/>
      </w:pPr>
      <w:r>
        <w:t xml:space="preserve">Total upstream materials weight (approx.) = 0.58 kg (from BOM)</w:t>
      </w:r>
    </w:p>
    <w:p>
      <w:pPr>
        <w:numPr>
          <w:ilvl w:val="0"/>
          <w:numId w:val="1007"/>
        </w:numPr>
        <w:pStyle w:val="Compact"/>
      </w:pPr>
      <w:r>
        <w:t xml:space="preserve">Emissions = 0.58 kg * (1 tonne / 1000 kg) * 8,000 km * 0.092 kg CO2e/tonne-km = 0.42688 kg CO2e</w:t>
      </w:r>
    </w:p>
    <w:p>
      <w:pPr>
        <w:pStyle w:val="FirstParagraph"/>
      </w:pPr>
      <w:r>
        <w:rPr>
          <w:bCs/>
          <w:b/>
        </w:rPr>
        <w:t xml:space="preserve">Total Upstream Transport Emissions: 0.42688 kg CO2e/unit</w:t>
      </w:r>
    </w:p>
    <w:bookmarkEnd w:id="27"/>
    <w:bookmarkStart w:id="28" w:name="Xe1b5aabe6a3ff6f66dfbfd33f3b6a3bcfd7a150"/>
    <w:p>
      <w:pPr>
        <w:pStyle w:val="Heading4"/>
      </w:pPr>
      <w:r>
        <w:t xml:space="preserve">3.3.2. Downstream Transportation (China Factory to European Distribution Center) - Scope 3 (Downstream)</w:t>
      </w:r>
    </w:p>
    <w:p>
      <w:pPr>
        <w:numPr>
          <w:ilvl w:val="0"/>
          <w:numId w:val="1008"/>
        </w:numPr>
        <w:pStyle w:val="Compact"/>
      </w:pPr>
      <w:r>
        <w:rPr>
          <w:bCs/>
          <w:b/>
        </w:rPr>
        <w:t xml:space="preserve">Distance:</w:t>
      </w:r>
      <w:r>
        <w:t xml:space="preserve"> </w:t>
      </w:r>
      <w:r>
        <w:t xml:space="preserve">1,000 km (Assumed within China/to port)</w:t>
      </w:r>
    </w:p>
    <w:p>
      <w:pPr>
        <w:numPr>
          <w:ilvl w:val="0"/>
          <w:numId w:val="1008"/>
        </w:numPr>
        <w:pStyle w:val="Compact"/>
      </w:pPr>
      <w:r>
        <w:rPr>
          <w:bCs/>
          <w:b/>
        </w:rPr>
        <w:t xml:space="preserve">Transport Mode:</w:t>
      </w:r>
      <w:r>
        <w:t xml:space="preserve"> </w:t>
      </w:r>
      <w:r>
        <w:t xml:space="preserve">Road Freight (HGV &gt; 20t)</w:t>
      </w:r>
    </w:p>
    <w:p>
      <w:pPr>
        <w:numPr>
          <w:ilvl w:val="0"/>
          <w:numId w:val="1008"/>
        </w:numPr>
        <w:pStyle w:val="Compact"/>
      </w:pPr>
      <w:r>
        <w:rPr>
          <w:bCs/>
          <w:b/>
        </w:rPr>
        <w:t xml:space="preserve">Emission Factor:</w:t>
      </w:r>
      <w:r>
        <w:t xml:space="preserve"> </w:t>
      </w:r>
      <w:r>
        <w:t xml:space="preserve">0.092 kg CO2e/tonne-km</w:t>
      </w:r>
    </w:p>
    <w:p>
      <w:pPr>
        <w:pStyle w:val="FirstParagraph"/>
      </w:pPr>
      <w:r>
        <w:rPr>
          <w:bCs/>
          <w:b/>
        </w:rPr>
        <w:t xml:space="preserve">Calculation:</w:t>
      </w:r>
    </w:p>
    <w:p>
      <w:pPr>
        <w:numPr>
          <w:ilvl w:val="0"/>
          <w:numId w:val="1009"/>
        </w:numPr>
        <w:pStyle w:val="Compact"/>
      </w:pPr>
      <w:r>
        <w:t xml:space="preserve">Product weight = 0.6 kg (rounded for transport)</w:t>
      </w:r>
    </w:p>
    <w:p>
      <w:pPr>
        <w:numPr>
          <w:ilvl w:val="0"/>
          <w:numId w:val="1009"/>
        </w:numPr>
        <w:pStyle w:val="Compact"/>
      </w:pPr>
      <w:r>
        <w:t xml:space="preserve">Emissions = 0.6 kg * (1 tonne / 1000 kg) * 1,000 km * 0.092 kg CO2e/tonne-km = 0.0552 kg CO2e</w:t>
      </w:r>
    </w:p>
    <w:p>
      <w:pPr>
        <w:pStyle w:val="FirstParagraph"/>
      </w:pPr>
      <w:r>
        <w:rPr>
          <w:bCs/>
          <w:b/>
        </w:rPr>
        <w:t xml:space="preserve">Total Main Downstream Transport Emissions: 0.0552 kg CO2e/unit</w:t>
      </w:r>
    </w:p>
    <w:bookmarkEnd w:id="28"/>
    <w:bookmarkStart w:id="29" w:name="X3d6ec329512ddcc0f45a41a48dc3b8a255b53a3"/>
    <w:p>
      <w:pPr>
        <w:pStyle w:val="Heading4"/>
      </w:pPr>
      <w:r>
        <w:t xml:space="preserve">3.3.3. Last-Mile Delivery (European Distribution Center to Customer) - Scope 3 (Downstream)</w:t>
      </w:r>
    </w:p>
    <w:p>
      <w:pPr>
        <w:numPr>
          <w:ilvl w:val="0"/>
          <w:numId w:val="1010"/>
        </w:numPr>
        <w:pStyle w:val="Compact"/>
      </w:pPr>
      <w:r>
        <w:rPr>
          <w:bCs/>
          <w:b/>
        </w:rPr>
        <w:t xml:space="preserve">Distance:</w:t>
      </w:r>
      <w:r>
        <w:t xml:space="preserve"> </w:t>
      </w:r>
      <w:r>
        <w:t xml:space="preserve">100 km</w:t>
      </w:r>
    </w:p>
    <w:p>
      <w:pPr>
        <w:numPr>
          <w:ilvl w:val="0"/>
          <w:numId w:val="1010"/>
        </w:numPr>
        <w:pStyle w:val="Compact"/>
      </w:pPr>
      <w:r>
        <w:rPr>
          <w:bCs/>
          <w:b/>
        </w:rPr>
        <w:t xml:space="preserve">Transport Mode:</w:t>
      </w:r>
      <w:r>
        <w:t xml:space="preserve"> </w:t>
      </w:r>
      <w:r>
        <w:t xml:space="preserve">Parcel Service Van</w:t>
      </w:r>
    </w:p>
    <w:p>
      <w:pPr>
        <w:numPr>
          <w:ilvl w:val="0"/>
          <w:numId w:val="1010"/>
        </w:numPr>
        <w:pStyle w:val="Compact"/>
      </w:pPr>
      <w:r>
        <w:rPr>
          <w:bCs/>
          <w:b/>
        </w:rPr>
        <w:t xml:space="preserve">Emission Factor (scaled from 2kg package, 1000km):</w:t>
      </w:r>
      <w:r>
        <w:t xml:space="preserve"> </w:t>
      </w:r>
      <w:r>
        <w:t xml:space="preserve">0.0000525 kg CO2e/km (assuming 0.5kg product package)</w:t>
      </w:r>
    </w:p>
    <w:p>
      <w:pPr>
        <w:pStyle w:val="FirstParagraph"/>
      </w:pPr>
      <w:r>
        <w:rPr>
          <w:bCs/>
          <w:b/>
        </w:rPr>
        <w:t xml:space="preserve">Calculation:</w:t>
      </w:r>
    </w:p>
    <w:p>
      <w:pPr>
        <w:numPr>
          <w:ilvl w:val="0"/>
          <w:numId w:val="1011"/>
        </w:numPr>
        <w:pStyle w:val="Compact"/>
      </w:pPr>
      <w:r>
        <w:t xml:space="preserve">Emissions = 100 km * 0.0000525 kg CO2e/km = 0.00525 kg CO2e</w:t>
      </w:r>
    </w:p>
    <w:p>
      <w:pPr>
        <w:pStyle w:val="FirstParagraph"/>
      </w:pPr>
      <w:r>
        <w:rPr>
          <w:bCs/>
          <w:b/>
        </w:rPr>
        <w:t xml:space="preserve">Total Last-Mile Delivery Emissions: 0.00525 kg CO2e/unit</w:t>
      </w:r>
    </w:p>
    <w:p>
      <w:pPr>
        <w:pStyle w:val="BodyText"/>
      </w:pPr>
      <w:r>
        <w:rPr>
          <w:bCs/>
          <w:b/>
        </w:rPr>
        <w:t xml:space="preserve">Total Transport Emissions: 0.42688 + 0.0552 + 0.00525 = 0.48733 kg CO2e/unit</w:t>
      </w:r>
    </w:p>
    <w:bookmarkEnd w:id="29"/>
    <w:bookmarkEnd w:id="30"/>
    <w:bookmarkStart w:id="31" w:name="use-phase"/>
    <w:p>
      <w:pPr>
        <w:pStyle w:val="Heading3"/>
      </w:pPr>
      <w:r>
        <w:t xml:space="preserve">3.4. Use Phase</w:t>
      </w:r>
    </w:p>
    <w:p>
      <w:pPr>
        <w:pStyle w:val="FirstParagraph"/>
      </w:pPr>
      <w:r>
        <w:t xml:space="preserve">The use phase considers the energy consumption of the Smart Home Hub over its functional lifespan.</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Energy Consumption in Use:</w:t>
      </w:r>
      <w:r>
        <w:t xml:space="preserve"> </w:t>
      </w:r>
      <w:r>
        <w:t xml:space="preserve">10 kWh/year</w:t>
      </w:r>
    </w:p>
    <w:p>
      <w:pPr>
        <w:numPr>
          <w:ilvl w:val="0"/>
          <w:numId w:val="1012"/>
        </w:numPr>
        <w:pStyle w:val="Compact"/>
      </w:pPr>
      <w:r>
        <w:rPr>
          <w:bCs/>
          <w:b/>
        </w:rPr>
        <w:t xml:space="preserve">Use Phase Electricity Emission Factor (Europe average):</w:t>
      </w:r>
      <w:r>
        <w:t xml:space="preserve"> </w:t>
      </w:r>
      <w:r>
        <w:t xml:space="preserve">0.25 kg CO2e/kWh (estimated)</w:t>
      </w:r>
    </w:p>
    <w:p>
      <w:pPr>
        <w:pStyle w:val="FirstParagraph"/>
      </w:pPr>
      <w:r>
        <w:rPr>
          <w:bCs/>
          <w:b/>
        </w:rPr>
        <w:t xml:space="preserve">Calculation:</w:t>
      </w:r>
    </w:p>
    <w:p>
      <w:pPr>
        <w:numPr>
          <w:ilvl w:val="0"/>
          <w:numId w:val="1013"/>
        </w:numPr>
        <w:pStyle w:val="Compact"/>
      </w:pPr>
      <w:r>
        <w:t xml:space="preserve">Total energy consumption = 10 kWh/year * 5 years = 50 kWh</w:t>
      </w:r>
    </w:p>
    <w:p>
      <w:pPr>
        <w:numPr>
          <w:ilvl w:val="0"/>
          <w:numId w:val="1013"/>
        </w:numPr>
        <w:pStyle w:val="Compact"/>
      </w:pPr>
      <w:r>
        <w:t xml:space="preserve">Emissions = 50 kWh * 0.25 kg CO2e/kWh = 12.50 kg CO2e</w:t>
      </w:r>
    </w:p>
    <w:p>
      <w:pPr>
        <w:pStyle w:val="FirstParagraph"/>
      </w:pPr>
      <w:r>
        <w:rPr>
          <w:bCs/>
          <w:b/>
        </w:rPr>
        <w:t xml:space="preserve">Total Use Phase Emissions (Scope 3 - Downstream): 12.50 kg CO2e/unit</w:t>
      </w:r>
    </w:p>
    <w:bookmarkEnd w:id="31"/>
    <w:bookmarkStart w:id="32" w:name="end-of-life-eol-scenarios"/>
    <w:p>
      <w:pPr>
        <w:pStyle w:val="Heading3"/>
      </w:pPr>
      <w:r>
        <w:t xml:space="preserve">3.5. End-of-Life (EoL) Scenarios</w:t>
      </w:r>
    </w:p>
    <w:p>
      <w:pPr>
        <w:pStyle w:val="FirstParagraph"/>
      </w:pPr>
      <w:r>
        <w:t xml:space="preserve">The end-of-life stage considers the disposal and recycling of the product at the end of its useful life. The total product weight is 0.58 kg.</w:t>
      </w:r>
    </w:p>
    <w:p>
      <w:pPr>
        <w:numPr>
          <w:ilvl w:val="0"/>
          <w:numId w:val="1014"/>
        </w:numPr>
        <w:pStyle w:val="Compact"/>
      </w:pPr>
      <w:r>
        <w:rPr>
          <w:bCs/>
          <w:b/>
        </w:rPr>
        <w:t xml:space="preserve">Recyclability Percentage:</w:t>
      </w:r>
      <w:r>
        <w:t xml:space="preserve"> </w:t>
      </w:r>
      <w:r>
        <w:t xml:space="preserve">80%</w:t>
      </w:r>
    </w:p>
    <w:p>
      <w:pPr>
        <w:numPr>
          <w:ilvl w:val="0"/>
          <w:numId w:val="1014"/>
        </w:numPr>
        <w:pStyle w:val="Compact"/>
      </w:pPr>
      <w:r>
        <w:rPr>
          <w:bCs/>
          <w:b/>
        </w:rPr>
        <w:t xml:space="preserve">Circular/Take-back Programs:</w:t>
      </w:r>
      <w:r>
        <w:t xml:space="preserve"> </w:t>
      </w:r>
      <w:r>
        <w:t xml:space="preserve">InnovateTech Solutions operates a comprehensive take-back program for end-of-life Smart Home Hubs, facilitating material recovery and responsible recycling.</w:t>
      </w:r>
    </w:p>
    <w:p>
      <w:pPr>
        <w:pStyle w:val="FirstParagraph"/>
      </w:pPr>
      <w:r>
        <w:t xml:space="preserve">For the remaining 20% that is not recycled, we assume a split of 15% to landfill and 5% to incineration, based on typical mixed waste disposal.</w:t>
      </w:r>
    </w:p>
    <w:p>
      <w:pPr>
        <w:numPr>
          <w:ilvl w:val="0"/>
          <w:numId w:val="1015"/>
        </w:numPr>
        <w:pStyle w:val="Compact"/>
      </w:pPr>
      <w:r>
        <w:rPr>
          <w:bCs/>
          <w:b/>
        </w:rPr>
        <w:t xml:space="preserve">Recycled materials:</w:t>
      </w:r>
      <w:r>
        <w:t xml:space="preserve"> </w:t>
      </w:r>
      <w:r>
        <w:t xml:space="preserve">0.58 kg * 0.80 = 0.464 kg</w:t>
      </w:r>
    </w:p>
    <w:p>
      <w:pPr>
        <w:numPr>
          <w:ilvl w:val="0"/>
          <w:numId w:val="1015"/>
        </w:numPr>
        <w:pStyle w:val="Compact"/>
      </w:pPr>
      <w:r>
        <w:rPr>
          <w:bCs/>
          <w:b/>
        </w:rPr>
        <w:t xml:space="preserve">Landfilled materials:</w:t>
      </w:r>
      <w:r>
        <w:t xml:space="preserve"> </w:t>
      </w:r>
      <w:r>
        <w:t xml:space="preserve">0.58 kg * 0.15 = 0.087 kg</w:t>
      </w:r>
    </w:p>
    <w:p>
      <w:pPr>
        <w:numPr>
          <w:ilvl w:val="0"/>
          <w:numId w:val="1015"/>
        </w:numPr>
        <w:pStyle w:val="Compact"/>
      </w:pPr>
      <w:r>
        <w:rPr>
          <w:bCs/>
          <w:b/>
        </w:rPr>
        <w:t xml:space="preserve">Incinerated materials:</w:t>
      </w:r>
      <w:r>
        <w:t xml:space="preserve"> </w:t>
      </w:r>
      <w:r>
        <w:t xml:space="preserve">0.58 kg * 0.05 = 0.029 kg</w:t>
      </w:r>
    </w:p>
    <w:p>
      <w:pPr>
        <w:pStyle w:val="FirstParagraph"/>
      </w:pPr>
      <w:r>
        <w:rPr>
          <w:bCs/>
          <w:b/>
        </w:rPr>
        <w:t xml:space="preserve">Emission Factors for EoL Treatment (estimated for mixed electronics/plastics):</w:t>
      </w:r>
    </w:p>
    <w:p>
      <w:pPr>
        <w:numPr>
          <w:ilvl w:val="0"/>
          <w:numId w:val="1016"/>
        </w:numPr>
        <w:pStyle w:val="Compact"/>
      </w:pPr>
      <w:r>
        <w:t xml:space="preserve">Recycling Process: 0.05 kg CO2e/kg (Emissions from collection, sorting, and processing, excluding avoided virgin material emissions)</w:t>
      </w:r>
    </w:p>
    <w:p>
      <w:pPr>
        <w:numPr>
          <w:ilvl w:val="0"/>
          <w:numId w:val="1016"/>
        </w:numPr>
        <w:pStyle w:val="Compact"/>
      </w:pPr>
      <w:r>
        <w:t xml:space="preserve">Landfill: 0.033 kg CO2e/kg (for plastic-heavy waste)</w:t>
      </w:r>
    </w:p>
    <w:p>
      <w:pPr>
        <w:numPr>
          <w:ilvl w:val="0"/>
          <w:numId w:val="1016"/>
        </w:numPr>
        <w:pStyle w:val="Compact"/>
      </w:pPr>
      <w:r>
        <w:t xml:space="preserve">Incineration: 2.76 kg CO2e/kg (for plastic waste, without energy recovery credit)</w:t>
      </w:r>
    </w:p>
    <w:p>
      <w:pPr>
        <w:pStyle w:val="FirstParagraph"/>
      </w:pPr>
      <w:r>
        <w:rPr>
          <w:bCs/>
          <w:b/>
        </w:rPr>
        <w:t xml:space="preserve">Calculation:</w:t>
      </w:r>
    </w:p>
    <w:p>
      <w:pPr>
        <w:numPr>
          <w:ilvl w:val="0"/>
          <w:numId w:val="1017"/>
        </w:numPr>
        <w:pStyle w:val="Compact"/>
      </w:pPr>
      <w:r>
        <w:t xml:space="preserve">Emissions from Recycling Process = 0.464 kg * 0.05 kg CO2e/kg = 0.0232 kg CO2e</w:t>
      </w:r>
    </w:p>
    <w:p>
      <w:pPr>
        <w:numPr>
          <w:ilvl w:val="0"/>
          <w:numId w:val="1017"/>
        </w:numPr>
        <w:pStyle w:val="Compact"/>
      </w:pPr>
      <w:r>
        <w:t xml:space="preserve">Emissions from Landfill = 0.087 kg * 0.033 kg CO2e/kg = 0.002871 kg CO2e</w:t>
      </w:r>
    </w:p>
    <w:p>
      <w:pPr>
        <w:numPr>
          <w:ilvl w:val="0"/>
          <w:numId w:val="1017"/>
        </w:numPr>
        <w:pStyle w:val="Compact"/>
      </w:pPr>
      <w:r>
        <w:t xml:space="preserve">Emissions from Incineration = 0.029 kg * 2.76 kg CO2e/kg = 0.08004 kg CO2e</w:t>
      </w:r>
    </w:p>
    <w:p>
      <w:pPr>
        <w:pStyle w:val="FirstParagraph"/>
      </w:pPr>
      <w:r>
        <w:rPr>
          <w:bCs/>
          <w:b/>
        </w:rPr>
        <w:t xml:space="preserve">Total End-of-Life Emissions (Scope 3 - Downstream): 0.0232 + 0.002871 + 0.08004 = 0.106111 kg CO2e/unit</w:t>
      </w:r>
    </w:p>
    <w:p>
      <w:pPr>
        <w:pStyle w:val="BodyText"/>
      </w:pPr>
      <w:r>
        <w:rPr>
          <w:iCs/>
          <w:i/>
        </w:rPr>
        <w:t xml:space="preserve">Note on recycling:</w:t>
      </w:r>
      <w:r>
        <w:t xml:space="preserve"> </w:t>
      </w:r>
      <w:r>
        <w:t xml:space="preserve">While recycling processes themselves incur emissions, they significantly reduce the need for virgin material production, leading to avoided emissions in the upstream stages of subsequent product lifecycles. This report primarily quantifies the direct emissions from the recycling process itself. The broader environmental benefit of circular economy programs, such as InnovateTech Solutions\' take-back program, lies in these avoided virgin material emissions.</w:t>
      </w:r>
    </w:p>
    <w:p>
      <w:r>
        <w:pict>
          <v:rect style="width:0;height:1.5pt" o:hralign="center" o:hrstd="t" o:hr="t"/>
        </w:pict>
      </w:r>
    </w:p>
    <w:bookmarkEnd w:id="32"/>
    <w:bookmarkEnd w:id="33"/>
    <w:bookmarkStart w:id="37" w:name="X439a6e6dcb43c636bf515ffaf3f59bce0bd6490"/>
    <w:p>
      <w:pPr>
        <w:pStyle w:val="Heading2"/>
      </w:pPr>
      <w:r>
        <w:t xml:space="preserve">4. Emission Calculation (Activity * Emission Factor = CO2e)</w:t>
      </w:r>
    </w:p>
    <w:p>
      <w:pPr>
        <w:pStyle w:val="FirstParagraph"/>
      </w:pPr>
      <w:r>
        <w:t xml:space="preserve">The aggregated Product Carbon Footprint for the Smart Home Hub (nkudlkdhph) is summarized below, categorized by GHG Protocol scopes and lifecycle stages.</w:t>
      </w:r>
    </w:p>
    <w:bookmarkStart w:id="34" w:name="summary-of-emissions-by-scope-and-stage"/>
    <w:p>
      <w:pPr>
        <w:pStyle w:val="Heading3"/>
      </w:pPr>
      <w:r>
        <w:t xml:space="preserve">4.1.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6.77500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0.08250</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0.42688</w:t>
            </w:r>
          </w:p>
        </w:tc>
      </w:tr>
      <w:tr>
        <w:tc>
          <w:tcPr/>
          <w:p>
            <w:pPr>
              <w:pStyle w:val="Compact"/>
              <w:jc w:val="left"/>
            </w:pPr>
            <w:r>
              <w:t xml:space="preserve">Transport (Downstream - Main)</w:t>
            </w:r>
          </w:p>
        </w:tc>
        <w:tc>
          <w:tcPr/>
          <w:p>
            <w:pPr>
              <w:pStyle w:val="Compact"/>
              <w:jc w:val="left"/>
            </w:pPr>
            <w:r>
              <w:t xml:space="preserve">Scope 3 (Downstream)</w:t>
            </w:r>
          </w:p>
        </w:tc>
        <w:tc>
          <w:tcPr/>
          <w:p>
            <w:pPr>
              <w:pStyle w:val="Compact"/>
              <w:jc w:val="left"/>
            </w:pPr>
            <w:r>
              <w:t xml:space="preserve">0.05520</w:t>
            </w:r>
          </w:p>
        </w:tc>
      </w:tr>
      <w:tr>
        <w:tc>
          <w:tcPr/>
          <w:p>
            <w:pPr>
              <w:pStyle w:val="Compact"/>
              <w:jc w:val="left"/>
            </w:pPr>
            <w:r>
              <w:t xml:space="preserve">Transport (Downstream - Last-Mile)</w:t>
            </w:r>
          </w:p>
        </w:tc>
        <w:tc>
          <w:tcPr/>
          <w:p>
            <w:pPr>
              <w:pStyle w:val="Compact"/>
              <w:jc w:val="left"/>
            </w:pPr>
            <w:r>
              <w:t xml:space="preserve">Scope 3 (Downstream)</w:t>
            </w:r>
          </w:p>
        </w:tc>
        <w:tc>
          <w:tcPr/>
          <w:p>
            <w:pPr>
              <w:pStyle w:val="Compact"/>
              <w:jc w:val="left"/>
            </w:pPr>
            <w:r>
              <w:t xml:space="preserve">0.00525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0.10611</w:t>
            </w:r>
          </w:p>
        </w:tc>
      </w:tr>
      <w:tr>
        <w:tc>
          <w:tcPr>
            <w:gridSpan w:val="2"/>
          </w:tcPr>
          <w:p>
            <w:pPr>
              <w:pStyle w:val="Compact"/>
              <w:jc w:val="left"/>
            </w:pPr>
            <w:r>
              <w:rPr>
                <w:bCs/>
                <w:b/>
              </w:rPr>
              <w:t xml:space="preserve">TOTAL PRODUCT CARBON FOOTPRINT</w:t>
            </w:r>
          </w:p>
        </w:tc>
        <w:tc>
          <w:tcPr/>
          <w:p>
            <w:pPr>
              <w:pStyle w:val="Compact"/>
              <w:jc w:val="left"/>
            </w:pPr>
            <w:r>
              <w:rPr>
                <w:bCs/>
                <w:b/>
              </w:rPr>
              <w:t xml:space="preserve">20.95094 kg CO2e/unit</w:t>
            </w:r>
          </w:p>
        </w:tc>
      </w:tr>
    </w:tbl>
    <w:bookmarkEnd w:id="34"/>
    <w:bookmarkStart w:id="35" w:name="emissions-by-ghg-protocol-scope"/>
    <w:p>
      <w:pPr>
        <w:pStyle w:val="Heading3"/>
      </w:pPr>
      <w:r>
        <w:t xml:space="preserve">4.2.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0.08250</w:t>
            </w:r>
          </w:p>
        </w:tc>
        <w:tc>
          <w:tcPr/>
          <w:p>
            <w:pPr>
              <w:pStyle w:val="Compact"/>
              <w:jc w:val="left"/>
            </w:pPr>
            <w:r>
              <w:t xml:space="preserve">0.39%</w:t>
            </w:r>
          </w:p>
        </w:tc>
      </w:tr>
      <w:tr>
        <w:tc>
          <w:tcPr/>
          <w:p>
            <w:pPr>
              <w:pStyle w:val="Compact"/>
              <w:jc w:val="left"/>
            </w:pPr>
            <w:r>
              <w:t xml:space="preserve">Scope 3 (Value Chain)</w:t>
            </w:r>
          </w:p>
        </w:tc>
        <w:tc>
          <w:tcPr/>
          <w:p>
            <w:pPr>
              <w:pStyle w:val="Compact"/>
              <w:jc w:val="left"/>
            </w:pPr>
            <w:r>
              <w:t xml:space="preserve">20.86844</w:t>
            </w:r>
          </w:p>
        </w:tc>
        <w:tc>
          <w:tcPr/>
          <w:p>
            <w:pPr>
              <w:pStyle w:val="Compact"/>
              <w:jc w:val="left"/>
            </w:pPr>
            <w:r>
              <w:t xml:space="preserve">99.61%</w:t>
            </w:r>
          </w:p>
        </w:tc>
      </w:tr>
      <w:tr>
        <w:tc>
          <w:tcPr/>
          <w:p>
            <w:pPr>
              <w:pStyle w:val="Compact"/>
              <w:jc w:val="left"/>
            </w:pPr>
            <w:r>
              <w:rPr>
                <w:bCs/>
                <w:b/>
              </w:rPr>
              <w:t xml:space="preserve">TOTAL PCF</w:t>
            </w:r>
          </w:p>
        </w:tc>
        <w:tc>
          <w:tcPr/>
          <w:p>
            <w:pPr>
              <w:pStyle w:val="Compact"/>
              <w:jc w:val="left"/>
            </w:pPr>
            <w:r>
              <w:rPr>
                <w:bCs/>
                <w:b/>
              </w:rPr>
              <w:t xml:space="preserve">20.95094</w:t>
            </w:r>
          </w:p>
        </w:tc>
        <w:tc>
          <w:tcPr/>
          <w:p>
            <w:pPr>
              <w:pStyle w:val="Compact"/>
              <w:jc w:val="left"/>
            </w:pPr>
            <w:r>
              <w:rPr>
                <w:bCs/>
                <w:b/>
              </w:rPr>
              <w:t xml:space="preserve">100.00%</w:t>
            </w:r>
          </w:p>
        </w:tc>
      </w:tr>
    </w:tbl>
    <w:p>
      <w:pPr>
        <w:pStyle w:val="BodyText"/>
      </w:pPr>
      <w:r>
        <w:t xml:space="preserve">As expected, Scope 3 emissions dominate the product\'s carbon footprint, accounting for approximately 99.61% of the total. This highlights the critical importance of value chain engagement for decarbonization.</w:t>
      </w:r>
    </w:p>
    <w:bookmarkEnd w:id="35"/>
    <w:bookmarkStart w:id="36" w:name="hotspot-identification"/>
    <w:p>
      <w:pPr>
        <w:pStyle w:val="Heading3"/>
      </w:pPr>
      <w:r>
        <w:t xml:space="preserve">4.3. Hotspot Identification</w:t>
      </w:r>
    </w:p>
    <w:p>
      <w:pPr>
        <w:pStyle w:val="FirstParagraph"/>
      </w:pPr>
      <w:r>
        <w:t xml:space="preserve">The primary emission hotspots for the Smart Home Hub (nkudlkdhph) are:</w:t>
      </w:r>
    </w:p>
    <w:p>
      <w:pPr>
        <w:numPr>
          <w:ilvl w:val="0"/>
          <w:numId w:val="1018"/>
        </w:numPr>
        <w:pStyle w:val="Compact"/>
      </w:pPr>
      <w:r>
        <w:rPr>
          <w:bCs/>
          <w:b/>
        </w:rPr>
        <w:t xml:space="preserve">Use Phase (12.50 kg CO2e):</w:t>
      </w:r>
      <w:r>
        <w:t xml:space="preserve"> </w:t>
      </w:r>
      <w:r>
        <w:t xml:space="preserve">This stage represents the largest contributor, primarily due to the energy consumption of the device over its 5-year lifespan. This suggests that optimizing energy efficiency during product operation is paramount for significant reductions.</w:t>
      </w:r>
    </w:p>
    <w:p>
      <w:pPr>
        <w:numPr>
          <w:ilvl w:val="0"/>
          <w:numId w:val="1018"/>
        </w:numPr>
        <w:pStyle w:val="Compact"/>
      </w:pPr>
      <w:r>
        <w:rPr>
          <w:bCs/>
          <w:b/>
        </w:rPr>
        <w:t xml:space="preserve">Material Acquisition (6.775 kg CO2e):</w:t>
      </w:r>
      <w:r>
        <w:t xml:space="preserve"> </w:t>
      </w:r>
      <w:r>
        <w:t xml:space="preserve">The production of raw materials, particularly complex electronic components and the Li-ion battery, contributes substantially to the overall footprint. Sourcing lower-carbon materials and optimizing product design for material efficiency are key areas for intervention.</w:t>
      </w:r>
    </w:p>
    <w:p>
      <w:pPr>
        <w:numPr>
          <w:ilvl w:val="0"/>
          <w:numId w:val="1018"/>
        </w:numPr>
        <w:pStyle w:val="Compact"/>
      </w:pPr>
      <w:r>
        <w:rPr>
          <w:bCs/>
          <w:b/>
        </w:rPr>
        <w:t xml:space="preserve">Upstream Transportation (0.42688 kg CO2e):</w:t>
      </w:r>
      <w:r>
        <w:t xml:space="preserve"> </w:t>
      </w:r>
      <w:r>
        <w:t xml:space="preserve">Long-distance transport of components from Europe to the China factory is a notable contributor, emphasizing the need for optimized logistics and potentially localized sourcing.</w:t>
      </w:r>
    </w:p>
    <w:p>
      <w:r>
        <w:pict>
          <v:rect style="width:0;height:1.5pt" o:hralign="center" o:hrstd="t" o:hr="t"/>
        </w:pict>
      </w:r>
    </w:p>
    <w:bookmarkEnd w:id="36"/>
    <w:bookmarkEnd w:id="37"/>
    <w:bookmarkStart w:id="42" w:name="review-and-reporting"/>
    <w:p>
      <w:pPr>
        <w:pStyle w:val="Heading2"/>
      </w:pPr>
      <w:r>
        <w:t xml:space="preserve">5. Review and Reporting</w:t>
      </w:r>
    </w:p>
    <w:bookmarkStart w:id="38" w:name="total-product-carbon-footprint"/>
    <w:p>
      <w:pPr>
        <w:pStyle w:val="Heading3"/>
      </w:pPr>
      <w:r>
        <w:t xml:space="preserve">5.1. Total Product Carbon Footprint</w:t>
      </w:r>
    </w:p>
    <w:p>
      <w:pPr>
        <w:pStyle w:val="FirstParagraph"/>
      </w:pPr>
      <w:r>
        <w:t xml:space="preserve">The total cradle-to-grave Product Carbon Footprint for one unit of Smart Home Hub (nkudlkdhph) is</w:t>
      </w:r>
      <w:r>
        <w:t xml:space="preserve"> </w:t>
      </w:r>
      <w:r>
        <w:rPr>
          <w:bCs/>
          <w:b/>
        </w:rPr>
        <w:t xml:space="preserve">20.95 kg CO2e</w:t>
      </w:r>
      <w:r>
        <w:t xml:space="preserve">.</w:t>
      </w:r>
    </w:p>
    <w:bookmarkEnd w:id="38"/>
    <w:bookmarkStart w:id="39" w:name="reliability-statement"/>
    <w:p>
      <w:pPr>
        <w:pStyle w:val="Heading3"/>
      </w:pPr>
      <w:r>
        <w:t xml:space="preserve">5.2. Reliability Statement</w:t>
      </w:r>
    </w:p>
    <w:p>
      <w:pPr>
        <w:pStyle w:val="FirstParagraph"/>
      </w:pPr>
      <w:r>
        <w:t xml:space="preserve">This report relies on a combination of primary data (provided parameters) and secondary, industry-standard emission factors (e.g., from Ecoinvent/DEFRA equivalents). While reasonable assumptions have been made where specific data was not provided, the accuracy of the PCF is dependent on the quality and completeness of these underlying datasets. The use of average emission factors introduces some uncertainty; however, efforts have been made to select factors appropriate to the geographic scope and material types. The 95% Scope 3 coverage target enhances the comprehensiveness of this assessment.</w:t>
      </w:r>
    </w:p>
    <w:bookmarkEnd w:id="39"/>
    <w:bookmarkStart w:id="40" w:name="recommendations-for-emission-reduction"/>
    <w:p>
      <w:pPr>
        <w:pStyle w:val="Heading3"/>
      </w:pPr>
      <w:r>
        <w:t xml:space="preserve">5.3. Recommendations for Emission Reduction</w:t>
      </w:r>
    </w:p>
    <w:p>
      <w:pPr>
        <w:numPr>
          <w:ilvl w:val="0"/>
          <w:numId w:val="1019"/>
        </w:numPr>
        <w:pStyle w:val="Compact"/>
      </w:pPr>
      <w:r>
        <w:rPr>
          <w:bCs/>
          <w:b/>
        </w:rPr>
        <w:t xml:space="preserve">Optimize Use Phase Energy Efficiency:</w:t>
      </w:r>
      <w:r>
        <w:t xml:space="preserve"> </w:t>
      </w:r>
      <w:r>
        <w:t xml:space="preserve">Focus on engineering solutions to reduce the device\'s energy consumption during active and standby modes. Educating users on energy-saving settings can also contribute.</w:t>
      </w:r>
    </w:p>
    <w:p>
      <w:pPr>
        <w:numPr>
          <w:ilvl w:val="0"/>
          <w:numId w:val="1019"/>
        </w:numPr>
        <w:pStyle w:val="Compact"/>
      </w:pPr>
      <w:r>
        <w:rPr>
          <w:bCs/>
          <w:b/>
        </w:rPr>
        <w:t xml:space="preserve">Sustainable Material Sourcing:</w:t>
      </w:r>
      <w:r>
        <w:t xml:space="preserve"> </w:t>
      </w:r>
      <w:r>
        <w:t xml:space="preserve">Explore alternative, lower-carbon materials for the casing and internal components. Collaborate with suppliers to understand and reduce the embodied emissions of key components, especially semiconductors and batteries.</w:t>
      </w:r>
    </w:p>
    <w:p>
      <w:pPr>
        <w:numPr>
          <w:ilvl w:val="0"/>
          <w:numId w:val="1019"/>
        </w:numPr>
        <w:pStyle w:val="Compact"/>
      </w:pPr>
      <w:r>
        <w:rPr>
          <w:bCs/>
          <w:b/>
        </w:rPr>
        <w:t xml:space="preserve">Circular Economy Design:</w:t>
      </w:r>
      <w:r>
        <w:t xml:space="preserve"> </w:t>
      </w:r>
      <w:r>
        <w:t xml:space="preserve">Enhance product durability, repairability, and modularity to extend lifespan. Further invest in and promote take-back and recycling programs to maximize material recovery and reduce reliance on virgin materials.</w:t>
      </w:r>
    </w:p>
    <w:p>
      <w:pPr>
        <w:numPr>
          <w:ilvl w:val="0"/>
          <w:numId w:val="1019"/>
        </w:numPr>
        <w:pStyle w:val="Compact"/>
      </w:pPr>
      <w:r>
        <w:rPr>
          <w:bCs/>
          <w:b/>
        </w:rPr>
        <w:t xml:space="preserve">Logistics Optimization:</w:t>
      </w:r>
      <w:r>
        <w:t xml:space="preserve"> </w:t>
      </w:r>
      <w:r>
        <w:t xml:space="preserve">Investigate opportunities to optimize transportation routes and modes, potentially shifting to lower-carbon transport options where feasible for both inbound and outbound logistics.</w:t>
      </w:r>
    </w:p>
    <w:bookmarkEnd w:id="40"/>
    <w:bookmarkStart w:id="41" w:name="application-of-2026-lsr-standard"/>
    <w:p>
      <w:pPr>
        <w:pStyle w:val="Heading3"/>
      </w:pPr>
      <w:r>
        <w:t xml:space="preserve">5.4. Application of 2026 LSR Standard</w:t>
      </w:r>
    </w:p>
    <w:p>
      <w:pPr>
        <w:pStyle w:val="FirstParagraph"/>
      </w:pPr>
      <w:r>
        <w:t xml:space="preserve">As the 2026 Land Sector and Removals (LSR) Standard becomes effective in 2027, InnovateTech Solutions should continue to monitor its supply chain for any significant land-based impacts, especially if considering the use of bio-based materials. For this specific product (Smart Home Hub), direct land-use change and biogenic carbon flows are not primary drivers of emissions. However, if the company engages in activities that lead to CO₂ removals (e.g., through carbon capture technologies or land management in other operations), these would be accounted for and reported separately with high integrity, as guided by the LSR Standard. The standard\'s emphasis on transparency and data quality for land-related emissions and removals is crucial for future reporting.</w:t>
      </w:r>
    </w:p>
    <w:p>
      <w:pPr>
        <w:pStyle w:val="BodyText"/>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Hub (nkudlkdhph)</dc:title>
  <dc:creator/>
  <dc:description>High-detail Product Carbon Footprint (PCF) analysis for Smart Home Hub (nkudlkdhph) by InnovateTech Solutions, adhering to GHG Protocol and 2026 LSR Update standards.</dc:description>
  <dc:language>en</dc:language>
  <cp:keywords/>
  <dcterms:created xsi:type="dcterms:W3CDTF">2026-05-30T22:06:39Z</dcterms:created>
  <dcterms:modified xsi:type="dcterms:W3CDTF">2026-05-30T22:06:39Z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