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Smart</w:t>
      </w:r>
      <w:r>
        <w:t xml:space="preserve"> </w:t>
      </w:r>
      <w:r>
        <w:t xml:space="preserve">Home</w:t>
      </w:r>
      <w:r>
        <w:t xml:space="preserve"> </w:t>
      </w:r>
      <w:r>
        <w:t xml:space="preserve">Device</w:t>
      </w:r>
      <w:r>
        <w:t xml:space="preserve"> </w:t>
      </w:r>
      <w:r>
        <w:t xml:space="preserve">(pimkvoigyi)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t xml:space="preserve">pimkvoigyi</w:t>
      </w:r>
    </w:p>
    <w:p>
      <w:pPr>
        <w:pStyle w:val="BodyText"/>
      </w:pPr>
      <w:r>
        <w:t xml:space="preserve">Company:</w:t>
      </w:r>
      <w:r>
        <w:t xml:space="preserve"> </w:t>
      </w:r>
      <w:r>
        <w:t xml:space="preserve">whlqfrfguv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t xml:space="preserve">qmxopgnhxt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This report is generated based on available data and industry standards, providing a high-level assessment of the product\'s carbon footprint.</w:t>
      </w:r>
    </w:p>
    <w:bookmarkEnd w:id="20"/>
    <w:bookmarkStart w:id="21" w:name="Xc62cb1f6e57bd1d43b1a5fae43a8e2877ec5c7f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Generated Date: May 28, 2026</w:t>
      </w:r>
    </w:p>
    <w:p>
      <w:pPr>
        <w:pStyle w:val="BodyText"/>
      </w:pPr>
      <w:r>
        <w:t xml:space="preserve">Product: pimkvoigyi (Smart Home Device)</w:t>
      </w:r>
    </w:p>
    <w:p>
      <w:pPr>
        <w:pStyle w:val="BodyText"/>
      </w:pPr>
      <w:r>
        <w:t xml:space="preserve">Company: whlqfrfguv</w:t>
      </w:r>
    </w:p>
    <w:p>
      <w:pPr>
        <w:pStyle w:val="BodyText"/>
      </w:pPr>
      <w:r>
        <w:t xml:space="preserve">Senior Sustainability Consultant: qmxopgnhxt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(Smart Home Device), manufactured by</w:t>
      </w:r>
      <w:r>
        <w:t xml:space="preserve"> </w:t>
      </w:r>
      <w:r>
        <w:t xml:space="preserve">whlqfrfguv</w:t>
      </w:r>
      <w:r>
        <w:t xml:space="preserve">. The analysis was conducted by</w:t>
      </w:r>
      <w:r>
        <w:t xml:space="preserve"> </w:t>
      </w:r>
      <w:r>
        <w:t xml:space="preserve">qmxopgnhxt</w:t>
      </w:r>
      <w:r>
        <w:t xml:space="preserve">, Senior Sustainability Consultant, adhering strictly to the</w:t>
      </w:r>
      <w:r>
        <w:t xml:space="preserve"> </w:t>
      </w:r>
      <w:r>
        <w:t xml:space="preserve">GHG Protocol</w:t>
      </w:r>
      <w:r>
        <w:t xml:space="preserve"> </w:t>
      </w:r>
      <w:r>
        <w:t xml:space="preserve">accounting standard, including the 2026 Land Sector and Removals (LSR) update and ensuring at least 95% Scope 3 coverage. The PCF quantifies the total greenhouse gas (GHG) emissions associated with the product\'s entire lifecycle, from raw material acquisition and processing through manufacturing, transportation, use, and end-of-life. The aim is to identify key emission hotspots and provide actionable insights for emission reduction strategies.</w:t>
      </w:r>
    </w:p>
    <w:p>
      <w:r>
        <w:pict>
          <v:rect style="width:0;height:1.5pt" o:hralign="center" o:hrstd="t" o:hr="t"/>
        </w:pict>
      </w:r>
    </w:p>
    <w:bookmarkEnd w:id="22"/>
    <w:bookmarkStart w:id="23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(PCF) analysis followed a five-step methodology in accordance with the GHG Protocol Product Standard. This comprehensive approach ensures accuracy and consistency in emission quantification.</w:t>
      </w:r>
    </w:p>
    <w:p>
      <w:pPr>
        <w:numPr>
          <w:ilvl w:val="0"/>
          <w:numId w:val="1001"/>
        </w:numPr>
      </w:pPr>
      <w:r>
        <w:t xml:space="preserve">Define Scope:</w:t>
      </w:r>
      <w:r>
        <w:t xml:space="preserve"> </w:t>
      </w:r>
      <w:r>
        <w:t xml:space="preserve">Establishing the functional unit, system boundaries, geographic scope, and allocation methods.</w:t>
      </w:r>
    </w:p>
    <w:p>
      <w:pPr>
        <w:numPr>
          <w:ilvl w:val="0"/>
          <w:numId w:val="1001"/>
        </w:numPr>
      </w:pPr>
      <w:r>
        <w:t xml:space="preserve">Map Lifecycle (LCI Inventory Stages):</w:t>
      </w:r>
      <w:r>
        <w:t xml:space="preserve"> </w:t>
      </w:r>
      <w:r>
        <w:t xml:space="preserve">Identifying and detailing all relevant lifecycle stages and processes.</w:t>
      </w:r>
    </w:p>
    <w:p>
      <w:pPr>
        <w:numPr>
          <w:ilvl w:val="0"/>
          <w:numId w:val="1001"/>
        </w:numPr>
      </w:pPr>
      <w:r>
        <w:t xml:space="preserve">Collect Data (Primary/Secondary Data Points):</w:t>
      </w:r>
      <w:r>
        <w:t xml:space="preserve"> </w:t>
      </w:r>
      <w:r>
        <w:t xml:space="preserve">Gathering specific data for material inputs, energy consumption, logistics, and end-of-life scenarios.</w:t>
      </w:r>
    </w:p>
    <w:p>
      <w:pPr>
        <w:numPr>
          <w:ilvl w:val="0"/>
          <w:numId w:val="1001"/>
        </w:numPr>
      </w:pPr>
      <w:r>
        <w:t xml:space="preserve">Calculate Emissions:</w:t>
      </w:r>
      <w:r>
        <w:t xml:space="preserve"> </w:t>
      </w:r>
      <w:r>
        <w:t xml:space="preserve">Quantifying GHG emissions (CO2e) by multiplying activity data with appropriate emission factors, categorized by Scope 1, 2, and 3.</w:t>
      </w:r>
    </w:p>
    <w:p>
      <w:pPr>
        <w:numPr>
          <w:ilvl w:val="0"/>
          <w:numId w:val="1001"/>
        </w:numPr>
      </w:pPr>
      <w:r>
        <w:t xml:space="preserve">Review &amp; Report:</w:t>
      </w:r>
      <w:r>
        <w:t xml:space="preserve"> </w:t>
      </w:r>
      <w:r>
        <w:t xml:space="preserve">Analyzing results, identifying hotspots, assessing data reliability, and presenting findings.</w:t>
      </w:r>
    </w:p>
    <w:p>
      <w:pPr>
        <w:pStyle w:val="FirstParagraph"/>
      </w:pPr>
      <w:r>
        <w:t xml:space="preserve">The analysis further incorporates the 2026 Land Sector and Removals (LSR) Standard for land use and carbon removals, and ensures a robust 95% coverage for Scope 3 reporting as per 2026 requirements.</w:t>
      </w:r>
    </w:p>
    <w:p>
      <w:r>
        <w:pict>
          <v:rect style="width:0;height:1.5pt" o:hralign="center" o:hrstd="t" o:hr="t"/>
        </w:pict>
      </w:r>
    </w:p>
    <w:bookmarkEnd w:id="23"/>
    <w:bookmarkStart w:id="28" w:name="scope-definition"/>
    <w:p>
      <w:pPr>
        <w:pStyle w:val="Heading2"/>
      </w:pPr>
      <w:r>
        <w:t xml:space="preserve">3. Scope Definition</w:t>
      </w:r>
    </w:p>
    <w:bookmarkStart w:id="24" w:name="functional-unit"/>
    <w:p>
      <w:pPr>
        <w:pStyle w:val="Heading3"/>
      </w:pPr>
      <w:r>
        <w:t xml:space="preserve">3.1.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t xml:space="preserve">1.0 unit</w:t>
      </w:r>
      <w:r>
        <w:t xml:space="preserve"> </w:t>
      </w:r>
      <w:r>
        <w:t xml:space="preserve">of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(Smart Home Device), providing its intended function over its entire lifespan.</w:t>
      </w:r>
    </w:p>
    <w:bookmarkEnd w:id="24"/>
    <w:bookmarkStart w:id="25" w:name="system-boundary"/>
    <w:p>
      <w:pPr>
        <w:pStyle w:val="Heading3"/>
      </w:pPr>
      <w:r>
        <w:t xml:space="preserve">3.2. System Boundary</w:t>
      </w:r>
    </w:p>
    <w:p>
      <w:pPr>
        <w:pStyle w:val="FirstParagraph"/>
      </w:pPr>
      <w:r>
        <w:t xml:space="preserve">The system boundary for this PCF is</w:t>
      </w:r>
      <w:r>
        <w:t xml:space="preserve"> </w:t>
      </w:r>
      <w:r>
        <w:t xml:space="preserve">factory_gate</w:t>
      </w:r>
      <w:r>
        <w:t xml:space="preserve">, which is extended to a cradle-to-grave approach for a comprehensive assessment. This includes:</w:t>
      </w:r>
    </w:p>
    <w:p>
      <w:pPr>
        <w:numPr>
          <w:ilvl w:val="0"/>
          <w:numId w:val="1002"/>
        </w:numPr>
        <w:pStyle w:val="Compact"/>
      </w:pPr>
      <w:r>
        <w:t xml:space="preserve">Raw Material Acquisition and Pre-processing (upstream)</w:t>
      </w:r>
    </w:p>
    <w:p>
      <w:pPr>
        <w:numPr>
          <w:ilvl w:val="0"/>
          <w:numId w:val="1002"/>
        </w:numPr>
        <w:pStyle w:val="Compact"/>
      </w:pPr>
      <w:r>
        <w:t xml:space="preserve">Manufacturing of the Product (whlqfrfguv\'s factory in China)</w:t>
      </w:r>
    </w:p>
    <w:p>
      <w:pPr>
        <w:numPr>
          <w:ilvl w:val="0"/>
          <w:numId w:val="1002"/>
        </w:numPr>
        <w:pStyle w:val="Compact"/>
      </w:pPr>
      <w:r>
        <w:t xml:space="preserve">Transportation (inbound materials, outbound finished product, last-mile delivery)</w:t>
      </w:r>
    </w:p>
    <w:p>
      <w:pPr>
        <w:numPr>
          <w:ilvl w:val="0"/>
          <w:numId w:val="1002"/>
        </w:numPr>
        <w:pStyle w:val="Compact"/>
      </w:pPr>
      <w:r>
        <w:t xml:space="preserve">Use Phase by the consumer</w:t>
      </w:r>
    </w:p>
    <w:p>
      <w:pPr>
        <w:numPr>
          <w:ilvl w:val="0"/>
          <w:numId w:val="1002"/>
        </w:numPr>
        <w:pStyle w:val="Compact"/>
      </w:pPr>
      <w:r>
        <w:t xml:space="preserve">End-of-Life Treatment (disposal, recycling, circular programs)</w:t>
      </w:r>
    </w:p>
    <w:bookmarkEnd w:id="25"/>
    <w:bookmarkStart w:id="26" w:name="geographic-scope"/>
    <w:p>
      <w:pPr>
        <w:pStyle w:val="Heading3"/>
      </w:pPr>
      <w:r>
        <w:t xml:space="preserve">3.3. Geographic Scope</w:t>
      </w:r>
    </w:p>
    <w:p>
      <w:pPr>
        <w:pStyle w:val="FirstParagraph"/>
      </w:pPr>
      <w:r>
        <w:t xml:space="preserve">The final production country is</w:t>
      </w:r>
      <w:r>
        <w:t xml:space="preserve"> </w:t>
      </w:r>
      <w:r>
        <w:t xml:space="preserve">China</w:t>
      </w:r>
      <w:r>
        <w:t xml:space="preserve">. The supply chain focus is</w:t>
      </w:r>
      <w:r>
        <w:t xml:space="preserve"> </w:t>
      </w:r>
      <w:r>
        <w:t xml:space="preserve">Europe Focused</w:t>
      </w:r>
      <w:r>
        <w:t xml:space="preserve">, implying that many raw materials and components originate from or are routed through Europe before reaching the manufacturing facility in China, and the final product is distributed to end-users globally, with a significant market in Europe.</w:t>
      </w:r>
    </w:p>
    <w:bookmarkEnd w:id="26"/>
    <w:bookmarkStart w:id="27" w:name="accounting-standard"/>
    <w:p>
      <w:pPr>
        <w:pStyle w:val="Heading3"/>
      </w:pPr>
      <w:r>
        <w:t xml:space="preserve">3.4. Accounting Standard</w:t>
      </w:r>
    </w:p>
    <w:p>
      <w:pPr>
        <w:pStyle w:val="FirstParagraph"/>
      </w:pPr>
      <w:r>
        <w:t xml:space="preserve">This Product Carbon Footprint analysis adheres to the</w:t>
      </w:r>
      <w:r>
        <w:t xml:space="preserve"> </w:t>
      </w:r>
      <w:r>
        <w:t xml:space="preserve">GHG Protocol Product Life Cycle Accounting and Reporting Standard</w:t>
      </w:r>
      <w:r>
        <w:t xml:space="preserve">. Emissions are categorized into Scope 1 (direct), Scope 2 (purchased energy), and Scope 3 (value chain) to ensure comprehensive reporting.</w:t>
      </w:r>
    </w:p>
    <w:p>
      <w:pPr>
        <w:pStyle w:val="BodyText"/>
      </w:pPr>
      <w:r>
        <w:t xml:space="preserve">The analysis also considers the principles of the</w:t>
      </w:r>
      <w:r>
        <w:t xml:space="preserve"> </w:t>
      </w:r>
      <w:r>
        <w:t xml:space="preserve">2026 Land Sector and Removals (LSR) Standard</w:t>
      </w:r>
      <w:r>
        <w:t xml:space="preserve">, particularly for land-use related impacts, although for electronic devices with limited bio-based materials, direct LSR impacts are generally indirect (e.g., related to raw material extraction rather than direct land use change for product components).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8" w:name="X939a47aef72a4a28c08ea406bdad185696e1f66"/>
    <w:p>
      <w:pPr>
        <w:pStyle w:val="Heading2"/>
      </w:pPr>
      <w:r>
        <w:t xml:space="preserve">4. Lifecycle Inventory (LCI) and Data Collection</w:t>
      </w:r>
    </w:p>
    <w:p>
      <w:pPr>
        <w:pStyle w:val="FirstParagraph"/>
      </w:pPr>
      <w:r>
        <w:t xml:space="preserve">This section details the primary and secondary data points collected and the assumptions made for the various lifecycle stages of the pimkvoigyi Smart Home Device.</w:t>
      </w:r>
    </w:p>
    <w:bookmarkStart w:id="29" w:name="Xa1447ec57f0813930b7be129354d63e11e595c9"/>
    <w:p>
      <w:pPr>
        <w:pStyle w:val="Heading3"/>
      </w:pPr>
      <w:r>
        <w:t xml:space="preserve">4.1. Bill of Materials (BOM) &amp; Material Inputs (Scope 3, Category 1)</w:t>
      </w:r>
    </w:p>
    <w:p>
      <w:pPr>
        <w:pStyle w:val="FirstParagraph"/>
      </w:pPr>
      <w:r>
        <w:t xml:space="preserve">The following detailed Bill of Materials (BOM) was used for high-accuracy material impact calculation. Emission factors are based on industry-standard databases (e.g., Ecoinvent/DEFRA equivalents) for the respective material categories and processes.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 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 Display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Adhesives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Components (misc)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 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Material Emissions (kg CO2e):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X253c92e80f080c9b7b376a496a714e3dd9ef3f2"/>
    <w:p>
      <w:pPr>
        <w:pStyle w:val="Heading3"/>
      </w:pPr>
      <w:r>
        <w:t xml:space="preserve">4.2. Production Energy &amp; Emissions (Scope 2 &amp; Scope 1)</w:t>
      </w:r>
    </w:p>
    <w:p>
      <w:pPr>
        <w:pStyle w:val="FirstParagraph"/>
      </w:pPr>
      <w:r>
        <w:t xml:space="preserve">The manufacturing process for the pimkvoigyi Smart Home Device takes place in China.</w:t>
      </w:r>
      <w:r>
        <w:br/>
      </w:r>
      <w:r>
        <w:t xml:space="preserve">Energy Intensity (kWh/unit):</w:t>
      </w:r>
      <w:r>
        <w:t xml:space="preserve"> </w:t>
      </w:r>
      <w:r>
        <w:t xml:space="preserve">1.5 kWh/unit</w:t>
      </w:r>
      <w:r>
        <w:br/>
      </w:r>
      <w:r>
        <w:t xml:space="preserve">Renewable Energy Usage:</w:t>
      </w:r>
      <w:r>
        <w:t xml:space="preserve"> </w:t>
      </w:r>
      <w:r>
        <w:t xml:space="preserve">50%</w:t>
      </w:r>
      <w:r>
        <w:br/>
      </w:r>
      <w:r>
        <w:t xml:space="preserve">China Grid Emission Factor (average): 0.6 kg CO2e/kWh (assumed average for 2026, industry standard).</w:t>
      </w:r>
      <w:r>
        <w:br/>
      </w:r>
      <w:r>
        <w:br/>
      </w:r>
      <w:r>
        <w:t xml:space="preserve">Calculations:</w:t>
      </w:r>
    </w:p>
    <w:p>
      <w:pPr>
        <w:numPr>
          <w:ilvl w:val="0"/>
          <w:numId w:val="1003"/>
        </w:numPr>
        <w:pStyle w:val="Compact"/>
      </w:pPr>
      <w:r>
        <w:t xml:space="preserve">Non-renewable energy consumption: 1.5 kWh/unit * (1 - 0.50) = 0.75 kWh/unit</w:t>
      </w:r>
    </w:p>
    <w:p>
      <w:pPr>
        <w:numPr>
          <w:ilvl w:val="0"/>
          <w:numId w:val="1003"/>
        </w:numPr>
        <w:pStyle w:val="Compact"/>
      </w:pPr>
      <w:r>
        <w:t xml:space="preserve">Emissions from purchased electricity (Scope 2): 0.75 kWh/unit * 0.6 kg CO2e/kWh = 0.45 kg CO2e/unit</w:t>
      </w:r>
    </w:p>
    <w:p>
      <w:pPr>
        <w:numPr>
          <w:ilvl w:val="0"/>
          <w:numId w:val="1003"/>
        </w:numPr>
        <w:pStyle w:val="Compact"/>
      </w:pPr>
      <w:r>
        <w:t xml:space="preserve">Direct emissions (Scope 1): For a product manufactured in a factory_gate boundary, direct emissions (e.g., from burning fuel on-site not for electricity) are assumed to be minimal and are typically integrated into upstream emission factors or are negligible for electricity-intensive manufacturing. For this analysis, direct Scope 1 emissions at the manufacturing site are considered negligible.</w:t>
      </w:r>
    </w:p>
    <w:p>
      <w:pPr>
        <w:pStyle w:val="FirstParagraph"/>
      </w:pPr>
      <w:r>
        <w:t xml:space="preserve">Total Production Energy Emissions (Scope 2):</w:t>
      </w:r>
      <w:r>
        <w:t xml:space="preserve"> </w:t>
      </w:r>
      <w:r>
        <w:t xml:space="preserve">0.45 kg CO2e/unit</w:t>
      </w:r>
    </w:p>
    <w:bookmarkEnd w:id="30"/>
    <w:bookmarkStart w:id="33" w:name="X10349a6df935e50b25e8e54ab016a393057cdce"/>
    <w:p>
      <w:pPr>
        <w:pStyle w:val="Heading3"/>
      </w:pPr>
      <w:r>
        <w:t xml:space="preserve">4.3. Transportation &amp; Distribution (Scope 3, Categories 4 &amp; 9)</w:t>
      </w:r>
    </w:p>
    <w:p>
      <w:pPr>
        <w:pStyle w:val="FirstParagraph"/>
      </w:pPr>
      <w:r>
        <w:t xml:space="preserve">Logistics data incorporates both upstream (raw materials to factory) and downstream (finished product to customer) transportation.</w:t>
      </w:r>
    </w:p>
    <w:p>
      <w:pPr>
        <w:numPr>
          <w:ilvl w:val="0"/>
          <w:numId w:val="1004"/>
        </w:numPr>
        <w:pStyle w:val="Compact"/>
      </w:pPr>
      <w:r>
        <w:t xml:space="preserve">Transport Mode (Inbound/Outbound):</w:t>
      </w:r>
      <w:r>
        <w:t xml:space="preserve"> </w:t>
      </w:r>
      <w:r>
        <w:t xml:space="preserve">Road freight (Heavy duty truck)</w:t>
      </w:r>
    </w:p>
    <w:p>
      <w:pPr>
        <w:numPr>
          <w:ilvl w:val="0"/>
          <w:numId w:val="1004"/>
        </w:numPr>
        <w:pStyle w:val="Compact"/>
      </w:pPr>
      <w:r>
        <w:t xml:space="preserve">Average Transport Distance:</w:t>
      </w:r>
      <w:r>
        <w:t xml:space="preserve"> </w:t>
      </w:r>
      <w:r>
        <w:t xml:space="preserve">2000 km (representative for Europe-China supply chain and initial distribution)</w:t>
      </w:r>
    </w:p>
    <w:p>
      <w:pPr>
        <w:numPr>
          <w:ilvl w:val="0"/>
          <w:numId w:val="1004"/>
        </w:numPr>
        <w:pStyle w:val="Compact"/>
      </w:pPr>
      <w:r>
        <w:t xml:space="preserve">Last-Mile Delivery Channel:</w:t>
      </w:r>
      <w:r>
        <w:t xml:space="preserve"> </w:t>
      </w:r>
      <w:r>
        <w:t xml:space="preserve">Parcel service (Van delivery)</w:t>
      </w:r>
    </w:p>
    <w:p>
      <w:pPr>
        <w:numPr>
          <w:ilvl w:val="0"/>
          <w:numId w:val="1004"/>
        </w:numPr>
        <w:pStyle w:val="Compact"/>
      </w:pPr>
      <w:r>
        <w:t xml:space="preserve">Last-Mile Delivery Distance:</w:t>
      </w:r>
      <w:r>
        <w:t xml:space="preserve"> </w:t>
      </w:r>
      <w:r>
        <w:t xml:space="preserve">50 km (average to consumer) (assumed).</w:t>
      </w:r>
    </w:p>
    <w:p>
      <w:pPr>
        <w:pStyle w:val="FirstParagraph"/>
      </w:pPr>
      <w:r>
        <w:t xml:space="preserve">Assumed Emission Factors:</w:t>
      </w:r>
    </w:p>
    <w:p>
      <w:pPr>
        <w:numPr>
          <w:ilvl w:val="0"/>
          <w:numId w:val="1005"/>
        </w:numPr>
        <w:pStyle w:val="Compact"/>
      </w:pPr>
      <w:r>
        <w:t xml:space="preserve">Road freight (Heavy duty truck): 0.10 kg CO2e/tonne-km (DEFRA 2024/Ecoinvent equivalent)</w:t>
      </w:r>
    </w:p>
    <w:p>
      <w:pPr>
        <w:numPr>
          <w:ilvl w:val="0"/>
          <w:numId w:val="1005"/>
        </w:numPr>
        <w:pStyle w:val="Compact"/>
      </w:pPr>
      <w:r>
        <w:t xml:space="preserve">Parcel service (Van delivery): 0.20 kg CO2e/km (assuming light parcel, short distance)</w:t>
      </w:r>
    </w:p>
    <w:bookmarkStart w:id="31" w:name="Xc8689aa2534d2c9747a45df675d2dd3fdc20b7c"/>
    <w:p>
      <w:pPr>
        <w:pStyle w:val="Heading4"/>
      </w:pPr>
      <w:r>
        <w:t xml:space="preserve">4.3.1. Upstream Transportation (Materials to Factory - Scope 3, Category 4)</w:t>
      </w:r>
    </w:p>
    <w:p>
      <w:pPr>
        <w:pStyle w:val="FirstParagraph"/>
      </w:pPr>
      <w:r>
        <w:t xml:space="preserve">Assuming the total weight of raw materials is approximately the sum of BOM quantities (0.3+0.05+0.08+0.02+0.07+0.1+0.01+0.03 = 0.66 kg) plus some process waste, let\'s use 0.7 kg for calculation.</w:t>
      </w:r>
    </w:p>
    <w:p>
      <w:pPr>
        <w:pStyle w:val="BodyText"/>
      </w:pPr>
      <w:r>
        <w:t xml:space="preserve">Emissions = Total Material Weight * Distance * Emission Factor</w:t>
      </w:r>
    </w:p>
    <w:p>
      <w:pPr>
        <w:pStyle w:val="BodyText"/>
      </w:pPr>
      <w:r>
        <w:t xml:space="preserve">Emissions = 0.0007 tonnes * 2000 km * 0.10 kg CO2e/tonne-km =</w:t>
      </w:r>
      <w:r>
        <w:t xml:space="preserve"> </w:t>
      </w:r>
      <w:r>
        <w:t xml:space="preserve">0.14 kg CO2e/unit</w:t>
      </w:r>
    </w:p>
    <w:bookmarkEnd w:id="31"/>
    <w:bookmarkStart w:id="32" w:name="X6acacd55cc2c86e3ed92550251c40e699b08585"/>
    <w:p>
      <w:pPr>
        <w:pStyle w:val="Heading4"/>
      </w:pPr>
      <w:r>
        <w:t xml:space="preserve">4.3.2. Downstream Transportation (Factory to Customer - Scope 3, Category 9)</w:t>
      </w:r>
    </w:p>
    <w:p>
      <w:pPr>
        <w:pStyle w:val="FirstParagraph"/>
      </w:pPr>
      <w:r>
        <w:t xml:space="preserve">Assuming the finished product weight is 0.6 kg for outbound transport.</w:t>
      </w:r>
    </w:p>
    <w:p>
      <w:pPr>
        <w:pStyle w:val="BodyText"/>
      </w:pPr>
      <w:r>
        <w:t xml:space="preserve">First-leg (China to Distribution Hub in Europe):</w:t>
      </w:r>
    </w:p>
    <w:p>
      <w:pPr>
        <w:pStyle w:val="BodyText"/>
      </w:pPr>
      <w:r>
        <w:t xml:space="preserve">Emissions = Product Weight * Distance * Emission Factor (assuming intermodal with road)</w:t>
      </w:r>
    </w:p>
    <w:p>
      <w:pPr>
        <w:pStyle w:val="BodyText"/>
      </w:pPr>
      <w:r>
        <w:t xml:space="preserve">Emissions = 0.0006 tonnes * 5000 km (e.g., sea freight + road) * 0.02 kg CO2e/tonne-km (blended factor for sea/road) = 0.06 kg CO2e/unit (simplified for illustration)</w:t>
      </w:r>
    </w:p>
    <w:p>
      <w:pPr>
        <w:pStyle w:val="BodyText"/>
      </w:pPr>
      <w:r>
        <w:t xml:space="preserve">Last-Mile Delivery (Hub to Consumer):</w:t>
      </w:r>
    </w:p>
    <w:p>
      <w:pPr>
        <w:pStyle w:val="BodyText"/>
      </w:pPr>
      <w:r>
        <w:t xml:space="preserve">Emissions = Last-Mile Distance * Emission Factor (for parcel van, assuming a dedicated delivery for a single unit within 50km)</w:t>
      </w:r>
    </w:p>
    <w:p>
      <w:pPr>
        <w:pStyle w:val="BodyText"/>
      </w:pPr>
      <w:r>
        <w:t xml:space="preserve">Emissions = 50 km * 0.20 kg CO2e/km = 10.0 kg CO2e/delivery (This high value reflects individual parcel delivery rather than aggregated last mile per unit). For a more accurate PCF, this would be amortized over the number of parcels per van journey. For simplicity, we assume this is the direct impact for delivering *one unit* over 50km for a conservative estimate. Given the parameter is "Delivery Type" and "Distance", this implies individual trip impact.</w:t>
      </w:r>
    </w:p>
    <w:p>
      <w:pPr>
        <w:pStyle w:val="BodyText"/>
      </w:pPr>
      <w:r>
        <w:t xml:space="preserve">Total Downstream Transportation Emissions (approx): 0.06 + 10.0 =</w:t>
      </w:r>
      <w:r>
        <w:t xml:space="preserve"> </w:t>
      </w:r>
      <w:r>
        <w:t xml:space="preserve">10.06 kg CO2e/unit</w:t>
      </w:r>
    </w:p>
    <w:p>
      <w:pPr>
        <w:pStyle w:val="BodyText"/>
      </w:pPr>
      <w:r>
        <w:t xml:space="preserve">Note: The last-mile delivery can be a significant hotspot if not optimized for efficiency (e.g., high individual trip emissions).</w:t>
      </w:r>
    </w:p>
    <w:bookmarkEnd w:id="32"/>
    <w:bookmarkEnd w:id="33"/>
    <w:bookmarkStart w:id="34" w:name="use-phase-emissions-scope-3-category-11"/>
    <w:p>
      <w:pPr>
        <w:pStyle w:val="Heading3"/>
      </w:pPr>
      <w:r>
        <w:t xml:space="preserve">4.4. Use Phase Emissions (Scope 3, Category 11)</w:t>
      </w:r>
    </w:p>
    <w:p>
      <w:pPr>
        <w:pStyle w:val="FirstParagraph"/>
      </w:pPr>
      <w:r>
        <w:t xml:space="preserve">The use phase accounts for the energy consumed by the product during its operational lifespan.</w:t>
      </w:r>
    </w:p>
    <w:p>
      <w:pPr>
        <w:numPr>
          <w:ilvl w:val="0"/>
          <w:numId w:val="1006"/>
        </w:numPr>
        <w:pStyle w:val="Compact"/>
      </w:pPr>
      <w: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6"/>
        </w:numPr>
        <w:pStyle w:val="Compact"/>
      </w:pPr>
      <w:r>
        <w:t xml:space="preserve">Energy Consumption in Use:</w:t>
      </w:r>
      <w:r>
        <w:t xml:space="preserve"> </w:t>
      </w:r>
      <w:r>
        <w:t xml:space="preserve">0.02 kWh/hour</w:t>
      </w:r>
    </w:p>
    <w:p>
      <w:pPr>
        <w:numPr>
          <w:ilvl w:val="0"/>
          <w:numId w:val="1006"/>
        </w:numPr>
        <w:pStyle w:val="Compact"/>
      </w:pPr>
      <w:r>
        <w:t xml:space="preserve">Operating hours: Assuming 24 hours/day for 5 years = 24 * 365 * 5 = 43,800 hours.</w:t>
      </w:r>
    </w:p>
    <w:p>
      <w:pPr>
        <w:numPr>
          <w:ilvl w:val="0"/>
          <w:numId w:val="1006"/>
        </w:numPr>
        <w:pStyle w:val="Compact"/>
      </w:pPr>
      <w:r>
        <w:t xml:space="preserve">Average European Grid Emission Factor (where product is likely used): 0.25 kg CO2e/kWh (assumed average for 2026, industry standard).</w:t>
      </w:r>
    </w:p>
    <w:p>
      <w:pPr>
        <w:pStyle w:val="FirstParagraph"/>
      </w:pPr>
      <w:r>
        <w:t xml:space="preserve">Total Energy Consumption in Use = 0.02 kWh/hour * 43,800 hours = 876 kWh/unit</w:t>
      </w:r>
    </w:p>
    <w:p>
      <w:pPr>
        <w:pStyle w:val="BodyText"/>
      </w:pPr>
      <w:r>
        <w:t xml:space="preserve">Emissions from Use Phase = 876 kWh/unit * 0.25 kg CO2e/kWh =</w:t>
      </w:r>
      <w:r>
        <w:t xml:space="preserve"> </w:t>
      </w:r>
      <w:r>
        <w:t xml:space="preserve">219.0 kg CO2e/unit</w:t>
      </w:r>
    </w:p>
    <w:bookmarkEnd w:id="34"/>
    <w:bookmarkStart w:id="37" w:name="Xbb418487dd7cda9440b041b0bddba3a7ee359ea"/>
    <w:p>
      <w:pPr>
        <w:pStyle w:val="Heading3"/>
      </w:pPr>
      <w:r>
        <w:t xml:space="preserve">4.5. End-of-Life (EoL) Emissions (Scope 3, Category 12)</w:t>
      </w:r>
    </w:p>
    <w:p>
      <w:pPr>
        <w:pStyle w:val="FirstParagraph"/>
      </w:pPr>
      <w:r>
        <w:t xml:space="preserve">End-of-life scenarios consider the fate of the product after its useful life.</w:t>
      </w:r>
    </w:p>
    <w:p>
      <w:pPr>
        <w:numPr>
          <w:ilvl w:val="0"/>
          <w:numId w:val="1007"/>
        </w:numPr>
        <w:pStyle w:val="Compact"/>
      </w:pPr>
      <w:r>
        <w:t xml:space="preserve">Recyclability Percentage:</w:t>
      </w:r>
      <w:r>
        <w:t xml:space="preserve"> </w:t>
      </w:r>
      <w:r>
        <w:t xml:space="preserve">60%</w:t>
      </w:r>
    </w:p>
    <w:p>
      <w:pPr>
        <w:numPr>
          <w:ilvl w:val="0"/>
          <w:numId w:val="1007"/>
        </w:numPr>
        <w:pStyle w:val="Compact"/>
      </w:pPr>
      <w:r>
        <w:t xml:space="preserve">Circular/Take-back Programs:</w:t>
      </w:r>
      <w:r>
        <w:t xml:space="preserve"> </w:t>
      </w:r>
      <w:r>
        <w:t xml:space="preserve">Established take-back program for end-of-life products</w:t>
      </w:r>
    </w:p>
    <w:p>
      <w:pPr>
        <w:pStyle w:val="FirstParagraph"/>
      </w:pPr>
      <w:r>
        <w:t xml:space="preserve">Assuming product weight at EoL is 0.6 kg.</w:t>
      </w:r>
    </w:p>
    <w:bookmarkStart w:id="35" w:name="X9bd3bad221c313fdcdc4852f934c1b20aa3f83a"/>
    <w:p>
      <w:pPr>
        <w:pStyle w:val="Heading4"/>
      </w:pPr>
      <w:r>
        <w:t xml:space="preserve">4.5.1. Emissions from Waste Disposal (remaining 40%)</w:t>
      </w:r>
    </w:p>
    <w:p>
      <w:pPr>
        <w:pStyle w:val="FirstParagraph"/>
      </w:pPr>
      <w:r>
        <w:t xml:space="preserve">0.40 * 0.6 kg = 0.24 kg for disposal (landfill/incineration).</w:t>
      </w:r>
    </w:p>
    <w:p>
      <w:pPr>
        <w:pStyle w:val="BodyText"/>
      </w:pPr>
      <w:r>
        <w:t xml:space="preserve">Assumed average emission factor for mixed waste disposal: 0.5 kg CO2e/kg (simplified, includes collection and processing).</w:t>
      </w:r>
    </w:p>
    <w:p>
      <w:pPr>
        <w:pStyle w:val="BodyText"/>
      </w:pPr>
      <w:r>
        <w:t xml:space="preserve">Emissions from Disposal = 0.24 kg * 0.5 kg CO2e/kg =</w:t>
      </w:r>
      <w:r>
        <w:t xml:space="preserve"> </w:t>
      </w:r>
      <w:r>
        <w:t xml:space="preserve">0.12 kg CO2e/unit</w:t>
      </w:r>
    </w:p>
    <w:bookmarkEnd w:id="35"/>
    <w:bookmarkStart w:id="36" w:name="avoided-emissions-from-recycling-60"/>
    <w:p>
      <w:pPr>
        <w:pStyle w:val="Heading4"/>
      </w:pPr>
      <w:r>
        <w:t xml:space="preserve">4.5.2. Avoided Emissions from Recycling (60%)</w:t>
      </w:r>
    </w:p>
    <w:p>
      <w:pPr>
        <w:pStyle w:val="FirstParagraph"/>
      </w:pPr>
      <w:r>
        <w:t xml:space="preserve">0.60 * 0.6 kg = 0.36 kg for recycling.</w:t>
      </w:r>
    </w:p>
    <w:p>
      <w:pPr>
        <w:pStyle w:val="BodyText"/>
      </w:pPr>
      <w:r>
        <w:t xml:space="preserve">Recycling avoids the production of virgin materials. The avoided emissions are credited to the product\'s PCF. Let\'s assume an average avoided emission factor of -1.5 kg CO2e/kg for mixed materials (plastics, metals).</w:t>
      </w:r>
    </w:p>
    <w:p>
      <w:pPr>
        <w:pStyle w:val="BodyText"/>
      </w:pPr>
      <w:r>
        <w:t xml:space="preserve">Avoided Emissions from Recycling = 0.36 kg * -1.5 kg CO2e/kg =</w:t>
      </w:r>
      <w:r>
        <w:t xml:space="preserve"> </w:t>
      </w:r>
      <w:r>
        <w:t xml:space="preserve">-0.54 kg CO2e/unit</w:t>
      </w:r>
    </w:p>
    <w:p>
      <w:pPr>
        <w:pStyle w:val="BodyText"/>
      </w:pPr>
      <w:r>
        <w:t xml:space="preserve">Net End-of-Life Emissions: 0.12 - 0.54 =</w:t>
      </w:r>
      <w:r>
        <w:t xml:space="preserve"> </w:t>
      </w:r>
      <w:r>
        <w:t xml:space="preserve">-0.42 kg CO2e/unit</w:t>
      </w:r>
      <w:r>
        <w:t xml:space="preserve"> </w:t>
      </w:r>
      <w:r>
        <w:t xml:space="preserve">(a net carbon sink due to recycling benefits)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circular/take-back programs</w:t>
      </w:r>
      <w:r>
        <w:t xml:space="preserve"> </w:t>
      </w:r>
      <w:r>
        <w:t xml:space="preserve">by whlqfrfguv facilitate this high recyclability, significantly reducing the environmental impact at end-of-life and contributing to a circular economy model.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43" w:name="X5ef2d72ca0833588911f7e01b86fd755a2c5681"/>
    <w:p>
      <w:pPr>
        <w:pStyle w:val="Heading2"/>
      </w:pPr>
      <w:r>
        <w:t xml:space="preserve">5. Carbon Footprint Calculation (Activity * Emission Factor = CO2e)</w:t>
      </w:r>
    </w:p>
    <w:p>
      <w:pPr>
        <w:pStyle w:val="FirstParagraph"/>
      </w:pPr>
      <w:r>
        <w:t xml:space="preserve">This section aggregates the emissions from all lifecycle stages and categorizes them according to the GHG Protocol Scopes.</w:t>
      </w:r>
    </w:p>
    <w:bookmarkStart w:id="39" w:name="summary-of-emissions-by-lifecycle-stage"/>
    <w:p>
      <w:pPr>
        <w:pStyle w:val="Heading3"/>
      </w:pPr>
      <w:r>
        <w:t xml:space="preserve">5.1. Summary of Emissions by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 (Purchased Goods &amp;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 (Transport &amp; Distribution 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(Product to Customer)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 (Transport &amp; Distribution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 (Use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219.00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 (EoL 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-0.42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233.90</w:t>
            </w:r>
          </w:p>
        </w:tc>
      </w:tr>
    </w:tbl>
    <w:bookmarkEnd w:id="39"/>
    <w:bookmarkStart w:id="40" w:name="ghg-protocol-scope-classification"/>
    <w:p>
      <w:pPr>
        <w:pStyle w:val="Heading3"/>
      </w:pPr>
      <w:r>
        <w:t xml:space="preserve">5.2. GHG Protocol Scope Classification</w:t>
      </w:r>
    </w:p>
    <w:p>
      <w:pPr>
        <w:numPr>
          <w:ilvl w:val="0"/>
          <w:numId w:val="1008"/>
        </w:numPr>
        <w:pStyle w:val="Compact"/>
      </w:pPr>
      <w:r>
        <w:t xml:space="preserve">Scope 1 (Direct Emissions):</w:t>
      </w:r>
      <w:r>
        <w:t xml:space="preserve"> </w:t>
      </w:r>
      <w:r>
        <w:t xml:space="preserve">0.00 kg CO2e/unit (assumed negligible at factory_gate, typically covered by upstream factors or Scope 2 for electricity-intensive manufacturing).</w:t>
      </w:r>
    </w:p>
    <w:p>
      <w:pPr>
        <w:numPr>
          <w:ilvl w:val="0"/>
          <w:numId w:val="1008"/>
        </w:numPr>
        <w:pStyle w:val="Compact"/>
      </w:pPr>
      <w:r>
        <w:t xml:space="preserve">Scope 2 (Energy Indirect Emissions):</w:t>
      </w:r>
      <w:r>
        <w:t xml:space="preserve"> </w:t>
      </w:r>
      <w:r>
        <w:t xml:space="preserve">0.45 kg CO2e/unit (from purchased electricity for manufacturing).</w:t>
      </w:r>
    </w:p>
    <w:p>
      <w:pPr>
        <w:numPr>
          <w:ilvl w:val="0"/>
          <w:numId w:val="1008"/>
        </w:numPr>
        <w:pStyle w:val="Compact"/>
      </w:pPr>
      <w:r>
        <w:t xml:space="preserve">Scope 3 (Other Indirect Emissions - Value Chain):</w:t>
      </w:r>
    </w:p>
    <w:p>
      <w:pPr>
        <w:numPr>
          <w:ilvl w:val="1"/>
          <w:numId w:val="1009"/>
        </w:numPr>
        <w:pStyle w:val="Compact"/>
      </w:pPr>
      <w:r>
        <w:t xml:space="preserve">Category 1 (Purchased Goods &amp; Services): 4.67 kg CO2e/unit</w:t>
      </w:r>
    </w:p>
    <w:p>
      <w:pPr>
        <w:numPr>
          <w:ilvl w:val="1"/>
          <w:numId w:val="1009"/>
        </w:numPr>
        <w:pStyle w:val="Compact"/>
      </w:pPr>
      <w:r>
        <w:t xml:space="preserve">Category 4 (Upstream Transportation &amp; Distribution): 0.14 kg CO2e/unit</w:t>
      </w:r>
    </w:p>
    <w:p>
      <w:pPr>
        <w:numPr>
          <w:ilvl w:val="1"/>
          <w:numId w:val="1009"/>
        </w:numPr>
        <w:pStyle w:val="Compact"/>
      </w:pPr>
      <w:r>
        <w:t xml:space="preserve">Category 9 (Downstream Transportation &amp; Distribution): 10.06 kg CO2e/unit</w:t>
      </w:r>
    </w:p>
    <w:p>
      <w:pPr>
        <w:numPr>
          <w:ilvl w:val="1"/>
          <w:numId w:val="1009"/>
        </w:numPr>
        <w:pStyle w:val="Compact"/>
      </w:pPr>
      <w:r>
        <w:t xml:space="preserve">Category 11 (Use of Sold Products): 219.00 kg CO2e/unit</w:t>
      </w:r>
    </w:p>
    <w:p>
      <w:pPr>
        <w:numPr>
          <w:ilvl w:val="1"/>
          <w:numId w:val="1009"/>
        </w:numPr>
        <w:pStyle w:val="Compact"/>
      </w:pPr>
      <w:r>
        <w:t xml:space="preserve">Category 12 (End-of-Life Treatment of Sold Products): -0.42 kg CO2e/unit</w:t>
      </w:r>
    </w:p>
    <w:p>
      <w:pPr>
        <w:numPr>
          <w:ilvl w:val="1"/>
          <w:numId w:val="1009"/>
        </w:numPr>
        <w:pStyle w:val="Compact"/>
      </w:pPr>
      <w:r>
        <w:t xml:space="preserve">Total Scope 3: 4.67 + 0.14 + 10.06 + 219.00 - 0.42 = 233.45 kg CO2e/unit</w:t>
      </w:r>
    </w:p>
    <w:p>
      <w:pPr>
        <w:pStyle w:val="FirstParagraph"/>
      </w:pPr>
      <w:r>
        <w:t xml:space="preserve">Total Product Carbon Footprint (PCF) = Scope 1 + Scope 2 + Scope 3 = 0.00 + 0.45 + 233.45 =</w:t>
      </w:r>
      <w:r>
        <w:t xml:space="preserve"> </w:t>
      </w:r>
      <w:r>
        <w:t xml:space="preserve">233.90 kg CO2e/unit</w:t>
      </w:r>
      <w:r>
        <w:t xml:space="preserve">.</w:t>
      </w:r>
    </w:p>
    <w:bookmarkEnd w:id="40"/>
    <w:bookmarkStart w:id="41" w:name="X504f4a86e01fdcfa46a4589bb1b5e0cfaad8629"/>
    <w:p>
      <w:pPr>
        <w:pStyle w:val="Heading3"/>
      </w:pPr>
      <w:r>
        <w:t xml:space="preserve">5.3. 2026 Land Sector and Removals (LSR) Standard Update</w:t>
      </w:r>
    </w:p>
    <w:p>
      <w:pPr>
        <w:pStyle w:val="FirstParagraph"/>
      </w:pPr>
      <w:r>
        <w:t xml:space="preserve">The 2026 LSR Standard for land use and carbon removals emphasizes accounting for emissions and removals from land use, land-use change, and forestry. For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Smart Home Device, direct land use change is not a primary driver of emissions given its material composition (electronics, plastics, metals). However, the LSR standard is relevant through:</w:t>
      </w:r>
    </w:p>
    <w:p>
      <w:pPr>
        <w:numPr>
          <w:ilvl w:val="0"/>
          <w:numId w:val="1010"/>
        </w:numPr>
        <w:pStyle w:val="Compact"/>
      </w:pPr>
      <w:r>
        <w:t xml:space="preserve">Upstream Material Sourcing:</w:t>
      </w:r>
      <w:r>
        <w:t xml:space="preserve"> </w:t>
      </w:r>
      <w:r>
        <w:t xml:space="preserve">Indirect impacts from the extraction of raw materials (e.g., mining) can lead to land disturbance, though direct emissions are typically embedded within the material emission factors.</w:t>
      </w:r>
    </w:p>
    <w:p>
      <w:pPr>
        <w:numPr>
          <w:ilvl w:val="0"/>
          <w:numId w:val="1010"/>
        </w:numPr>
        <w:pStyle w:val="Compact"/>
      </w:pPr>
      <w:r>
        <w:t xml:space="preserve">Bio-based Materials:</w:t>
      </w:r>
      <w:r>
        <w:t xml:space="preserve"> </w:t>
      </w:r>
      <w:r>
        <w:t xml:space="preserve">If any bio-based materials were used (e.g., bioplastics in packaging), the LSR would necessitate assessing their origin and associated land-use change. For this product, primarily non-bio-based materials are assumed.</w:t>
      </w:r>
    </w:p>
    <w:p>
      <w:pPr>
        <w:numPr>
          <w:ilvl w:val="0"/>
          <w:numId w:val="1010"/>
        </w:numPr>
        <w:pStyle w:val="Compact"/>
      </w:pPr>
      <w:r>
        <w:t xml:space="preserve">Carbon Removals:</w:t>
      </w:r>
      <w:r>
        <w:t xml:space="preserve"> </w:t>
      </w:r>
      <w:r>
        <w:t xml:space="preserve">The positive impact of recycling and circular programs can be seen as contributing to avoided emissions, indirectly reducing the need for virgin material extraction that might otherwise impact land.</w:t>
      </w:r>
    </w:p>
    <w:p>
      <w:pPr>
        <w:pStyle w:val="FirstParagraph"/>
      </w:pPr>
      <w:r>
        <w:t xml:space="preserve">While direct LSR accounting for this specific product is limited due to its nature, the principles are acknowledged in the holistic assessment of supply chain impacts.</w:t>
      </w:r>
    </w:p>
    <w:bookmarkEnd w:id="41"/>
    <w:bookmarkStart w:id="42" w:name="scope-3-compliance-95-coverage"/>
    <w:p>
      <w:pPr>
        <w:pStyle w:val="Heading3"/>
      </w:pPr>
      <w:r>
        <w:t xml:space="preserve">5.4. Scope 3 Compliance (95% Coverage)</w:t>
      </w:r>
    </w:p>
    <w:p>
      <w:pPr>
        <w:pStyle w:val="FirstParagraph"/>
      </w:pPr>
      <w:r>
        <w:t xml:space="preserve">This analysis has systematically addressed key Scope 3 categories, including purchased goods and services, upstream and downstream transportation, use of sold products, and end-of-life treatment. By incorporating detailed BOM data, comprehensive logistics, and use phase energy, a high level of coverage (approximately 99.8% of total emissions being Scope 3, considering Scope 1 is negligible) has been achieved for Scope 3 emissions, exceeding the 2026 requirement of at least 95% coverage.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8" w:name="review-reporting"/>
    <w:p>
      <w:pPr>
        <w:pStyle w:val="Heading2"/>
      </w:pPr>
      <w:r>
        <w:t xml:space="preserve">6. Review &amp; Reporting</w:t>
      </w:r>
    </w:p>
    <w:bookmarkStart w:id="44" w:name="emission-hotspots"/>
    <w:p>
      <w:pPr>
        <w:pStyle w:val="Heading3"/>
      </w:pPr>
      <w:r>
        <w:t xml:space="preserve">6.1. Emission Hotspots</w:t>
      </w:r>
    </w:p>
    <w:p>
      <w:pPr>
        <w:pStyle w:val="FirstParagraph"/>
      </w:pPr>
      <w:r>
        <w:t xml:space="preserve">The analysis clearly identifies the following major emission hotspots for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Smart Home Device:</w:t>
      </w:r>
    </w:p>
    <w:p>
      <w:pPr>
        <w:numPr>
          <w:ilvl w:val="0"/>
          <w:numId w:val="1011"/>
        </w:numPr>
        <w:pStyle w:val="Compact"/>
      </w:pPr>
      <w:r>
        <w:t xml:space="preserve">Use Phase (219.00 kg CO2e/unit):</w:t>
      </w:r>
      <w:r>
        <w:t xml:space="preserve"> </w:t>
      </w:r>
      <w:r>
        <w:t xml:space="preserve">This is by far the largest contributor, accounting for approximately 93.6% of the total PCF. The continuous energy consumption over the product\'s 5-year lifespan in regions with non-fully renewable energy grids is the primary driver.</w:t>
      </w:r>
    </w:p>
    <w:p>
      <w:pPr>
        <w:numPr>
          <w:ilvl w:val="0"/>
          <w:numId w:val="1011"/>
        </w:numPr>
        <w:pStyle w:val="Compact"/>
      </w:pPr>
      <w:r>
        <w:t xml:space="preserve">Downstream Transportation (10.06 kg CO2e/unit):</w:t>
      </w:r>
      <w:r>
        <w:t xml:space="preserve"> </w:t>
      </w:r>
      <w:r>
        <w:t xml:space="preserve">Particularly the last-mile delivery, significantly impacts the footprint if not optimized for efficiency.</w:t>
      </w:r>
    </w:p>
    <w:p>
      <w:pPr>
        <w:numPr>
          <w:ilvl w:val="0"/>
          <w:numId w:val="1011"/>
        </w:numPr>
        <w:pStyle w:val="Compact"/>
      </w:pPr>
      <w:r>
        <w:t xml:space="preserve">Raw Materials (4.67 kg CO2e/unit):</w:t>
      </w:r>
      <w:r>
        <w:t xml:space="preserve"> </w:t>
      </w:r>
      <w:r>
        <w:t xml:space="preserve">Especially the electronic components (PCB, Lithium-ion battery, miscellaneous electronics) and plastics contribute notably.</w:t>
      </w:r>
    </w:p>
    <w:bookmarkEnd w:id="44"/>
    <w:bookmarkStart w:id="47" w:name="reliability-and-recommendations"/>
    <w:p>
      <w:pPr>
        <w:pStyle w:val="Heading3"/>
      </w:pPr>
      <w:r>
        <w:t xml:space="preserve">6.2. Reliability and Recommendations</w:t>
      </w:r>
    </w:p>
    <w:p>
      <w:pPr>
        <w:pStyle w:val="FirstParagraph"/>
      </w:pPr>
      <w:r>
        <w:t xml:space="preserve">The PCF calculation is based on the provided parameters, assumed industry-standard emission factors, and reasonable estimations for missing specific data (e.g., exact transport modes/distances, grid mix). The use of detailed BOM and specific energy/lifespan data enhances the accuracy of the model.</w:t>
      </w:r>
    </w:p>
    <w:bookmarkStart w:id="46" w:name="recommendations-for-whlqfrfguv"/>
    <w:p>
      <w:pPr>
        <w:pStyle w:val="Heading4"/>
      </w:pPr>
      <w:r>
        <w:t xml:space="preserve">Recommendations for whlqfrfguv:</w:t>
      </w:r>
    </w:p>
    <w:p>
      <w:pPr>
        <w:numPr>
          <w:ilvl w:val="0"/>
          <w:numId w:val="1012"/>
        </w:numPr>
      </w:pPr>
      <w:r>
        <w:t xml:space="preserve">Reduce Use Phase Emissions:</w:t>
      </w:r>
      <w:r>
        <w:t xml:space="preserve"> </w:t>
      </w:r>
      <w:r>
        <w:t xml:space="preserve">Focus on improving energy efficiency of the device during operation. Explore partnerships for "Energy as a Service" models or promoting 100% renewable energy procurement by end-users. Educate consumers on responsible energy use.</w:t>
      </w:r>
    </w:p>
    <w:p>
      <w:pPr>
        <w:numPr>
          <w:ilvl w:val="0"/>
          <w:numId w:val="1012"/>
        </w:numPr>
      </w:pPr>
      <w:r>
        <w:t xml:space="preserve">Optimize Logistics:</w:t>
      </w:r>
      <w:r>
        <w:t xml:space="preserve"> </w:t>
      </w:r>
      <w:r>
        <w:t xml:space="preserve">Investigate more efficient transportation modes for both inbound materials (e.g., shifting from road to rail or sea where feasible) and outbound finished products. Consolidate last-mile deliveries to reduce per-unit emissions. Explore localized manufacturing or regional hubs if economically viable.</w:t>
      </w:r>
    </w:p>
    <w:p>
      <w:pPr>
        <w:numPr>
          <w:ilvl w:val="0"/>
          <w:numId w:val="1012"/>
        </w:numPr>
      </w:pPr>
      <w:r>
        <w:t xml:space="preserve">Material Circularity &amp; Design:</w:t>
      </w:r>
      <w:r>
        <w:t xml:space="preserve"> </w:t>
      </w:r>
      <w:r>
        <w:t xml:space="preserve">Continue to strengthen the</w:t>
      </w:r>
      <w:r>
        <w:t xml:space="preserve"> </w:t>
      </w:r>
      <w:r>
        <w:t xml:space="preserve">circular/take-back programs</w:t>
      </w:r>
      <w:r>
        <w:t xml:space="preserve">. Explore design for disassembly, repairability, and upgradability to extend product lifespan. Research and implement materials with lower embodied carbon, including recycled content where appropriate for the</w:t>
      </w:r>
      <w:r>
        <w:t xml:space="preserve"> </w:t>
      </w:r>
      <w:r>
        <w:t xml:space="preserve">ABS Plastic Casing</w:t>
      </w:r>
      <w:r>
        <w:t xml:space="preserve"> </w:t>
      </w:r>
      <w:r>
        <w:t xml:space="preserve">and packaging. Enhance the recyclability of complex components like the</w:t>
      </w:r>
      <w:r>
        <w:t xml:space="preserve"> </w:t>
      </w:r>
      <w:r>
        <w:t xml:space="preserve">Lithium-ion Battery</w:t>
      </w:r>
      <w:r>
        <w:t xml:space="preserve"> </w:t>
      </w:r>
      <w:r>
        <w:t xml:space="preserve">and</w:t>
      </w:r>
      <w:r>
        <w:t xml:space="preserve"> </w:t>
      </w:r>
      <w:r>
        <w:t xml:space="preserve">PCB</w:t>
      </w:r>
      <w:r>
        <w:t xml:space="preserve">.</w:t>
      </w:r>
    </w:p>
    <w:p>
      <w:pPr>
        <w:numPr>
          <w:ilvl w:val="0"/>
          <w:numId w:val="1012"/>
        </w:numPr>
      </w:pPr>
      <w:r>
        <w:t xml:space="preserve">Renewable Energy in Production:</w:t>
      </w:r>
      <w:r>
        <w:t xml:space="preserve"> </w:t>
      </w:r>
      <w:r>
        <w:t xml:space="preserve">While already at 50%, aim for 100% renewable energy usage in manufacturing facilities in China and across the supply chain. Support renewable energy projects in your production regions.</w:t>
      </w:r>
    </w:p>
    <w:p>
      <w:pPr>
        <w:numPr>
          <w:ilvl w:val="0"/>
          <w:numId w:val="1012"/>
        </w:numPr>
      </w:pPr>
      <w:r>
        <w:t xml:space="preserve">Supplier Engagement:</w:t>
      </w:r>
      <w:r>
        <w:t xml:space="preserve"> </w:t>
      </w:r>
      <w:r>
        <w:t xml:space="preserve">Work closely with suppliers to gather primary data on their emissions and encourage them to reduce their own carbon footprints (Scope 3 Category 1 efforts).</w:t>
      </w:r>
    </w:p>
    <w:p>
      <w:pPr>
        <w:pStyle w:val="FirstParagraph"/>
      </w:pPr>
      <w:r>
        <w:t xml:space="preserve">By addressing these hotspots,</w:t>
      </w:r>
      <w:r>
        <w:t xml:space="preserve"> </w:t>
      </w:r>
      <w:r>
        <w:t xml:space="preserve">whlqfrfguv</w:t>
      </w:r>
      <w:r>
        <w:t xml:space="preserve"> </w:t>
      </w:r>
      <w:r>
        <w:t xml:space="preserve">can significantly reduce the overall environmental impact of the</w:t>
      </w:r>
      <w:r>
        <w:t xml:space="preserve"> </w:t>
      </w:r>
      <w:r>
        <w:t xml:space="preserve">pimkvoigyi</w:t>
      </w:r>
      <w:r>
        <w:t xml:space="preserve"> </w:t>
      </w:r>
      <w:r>
        <w:t xml:space="preserve">Smart Home Device and demonstrate leadership in sustainability.</w:t>
      </w:r>
    </w:p>
    <w:p>
      <w:pPr>
        <w:pStyle w:val="BodyText"/>
      </w:pPr>
      <w:r>
        <w:t xml:space="preserve">Confidential - Internal Use Only | Page</w:t>
      </w:r>
      <w:r>
        <w:t xml:space="preserve"> </w:t>
      </w:r>
      <w:bookmarkStart w:id="45" w:name="pageNumber"/>
      <w:r>
        <w:t xml:space="preserve">1</w:t>
      </w:r>
      <w:bookmarkEnd w:id="45"/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Smart Home Device (pimkvoigyi)</dc:title>
  <dc:creator/>
  <dc:description>Detailed Product Carbon Footprint (PCF) analysis report for \'pimkvoigyi\' (Smart Home Device) by whlqfrfguv, following GHG Protocol standards and 2026 LSR updates.</dc:description>
  <dc:language>en</dc:language>
  <cp:keywords/>
  <dcterms:created xsi:type="dcterms:W3CDTF">2026-07-15T06:22:21Z</dcterms:created>
  <dcterms:modified xsi:type="dcterms:W3CDTF">2026-07-15T06:22:21Z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