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(fomznrxrok)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fomznrxrok (Smart Home Device)</w:t>
      </w:r>
    </w:p>
    <w:p>
      <w:pPr>
        <w:pStyle w:val="BodyText"/>
      </w:pPr>
      <w:r>
        <w:rPr>
          <w:bCs/>
          <w:b/>
        </w:rPr>
        <w:t xml:space="preserve">Company:</w:t>
      </w:r>
      <w:r>
        <w:t xml:space="preserve"> </w:t>
      </w:r>
      <w:r>
        <w:t xml:space="preserve">gqsjutxxil</w:t>
      </w:r>
    </w:p>
    <w:p>
      <w:pPr>
        <w:pStyle w:val="BodyText"/>
      </w:pPr>
      <w:r>
        <w:rPr>
          <w:bCs/>
          <w:b/>
        </w:rPr>
        <w:t xml:space="preserve">Senior Sustainability Consultant:</w:t>
      </w:r>
      <w:r>
        <w:t xml:space="preserve"> </w:t>
      </w:r>
      <w:r>
        <w:t xml:space="preserve">nmyqxtwnyz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specified parameters.</w:t>
      </w:r>
      <w:r>
        <w:t xml:space="preserve"> </w:t>
      </w:r>
      <w:r>
        <w:t xml:space="preserve">Assumptions have been made where specific data was not provided (e.g., detailed emission factors, specific transport routes).</w:t>
      </w:r>
      <w:r>
        <w:t xml:space="preserve"> </w:t>
      </w:r>
      <w:r>
        <w:t xml:space="preserve">Actual results may vary significantly with more granular, primary data.</w:t>
      </w:r>
    </w:p>
    <w:bookmarkEnd w:id="20"/>
    <w:bookmarkStart w:id="21" w:name="X098184d3e812d6e0c49ba2852b340ff62e55f27"/>
    <w:p>
      <w:pPr>
        <w:pStyle w:val="Heading1"/>
      </w:pPr>
      <w:r>
        <w:t xml:space="preserve">Product Carbon Footprint Analysis for fomznrxrok</w:t>
      </w:r>
    </w:p>
    <w:p>
      <w:pPr>
        <w:pStyle w:val="FirstParagraph"/>
      </w:pPr>
      <w:r>
        <w:t xml:space="preserve">Generated Date: May 16,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"fomznrxrok" (Smart Home Device) manufactured by gqsjutxxil. The analysis adheres to the GHG Protocol accounting standard, incorporating the 2026 Land Sector and Removals (LSR) Standard updates and aiming for at least 95% Scope 3 coverage. Conducted by nmyqxtwnyz, Senior Sustainability Consultant, this study evaluates the cradle-to-grave environmental impact, identifying key emission hotspots across the product\'s lifecycle from raw material extraction to end-of-life treatment. The total estimated carbon footprint for one functional unit of fomznrxrok is</w:t>
      </w:r>
      <w:r>
        <w:t xml:space="preserve"> </w:t>
      </w:r>
      <w:r>
        <w:rPr>
          <w:bCs/>
          <w:b/>
        </w:rPr>
        <w:t xml:space="preserve">21.616 kg CO2e</w:t>
      </w:r>
      <w:r>
        <w:t xml:space="preserve">.</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analysis for fomznrxrok follows a structured five-step methodology in accordance with the GHG Protocol Product Standard:</w:t>
      </w:r>
    </w:p>
    <w:p>
      <w:pPr>
        <w:numPr>
          <w:ilvl w:val="0"/>
          <w:numId w:val="1001"/>
        </w:numPr>
        <w:pStyle w:val="Compact"/>
      </w:pPr>
      <w:r>
        <w:rPr>
          <w:bCs/>
          <w:b/>
        </w:rPr>
        <w:t xml:space="preserve">Step 1: Define Scope</w:t>
      </w:r>
      <w:r>
        <w:t xml:space="preserve"> </w:t>
      </w:r>
      <w:r>
        <w:t xml:space="preserve">- Establish the functional unit, system boundaries, geographic scope, and allocation rules.</w:t>
      </w:r>
    </w:p>
    <w:p>
      <w:pPr>
        <w:numPr>
          <w:ilvl w:val="0"/>
          <w:numId w:val="1001"/>
        </w:numPr>
        <w:pStyle w:val="Compact"/>
      </w:pPr>
      <w:r>
        <w:rPr>
          <w:bCs/>
          <w:b/>
        </w:rPr>
        <w:t xml:space="preserve">Step 2: Map Lifecycle</w:t>
      </w:r>
      <w:r>
        <w:t xml:space="preserve"> </w:t>
      </w:r>
      <w:r>
        <w:t xml:space="preserve">- Identify and delineate all relevant lifecycle stages and associated inventory flows.</w:t>
      </w:r>
    </w:p>
    <w:p>
      <w:pPr>
        <w:numPr>
          <w:ilvl w:val="0"/>
          <w:numId w:val="1001"/>
        </w:numPr>
        <w:pStyle w:val="Compact"/>
      </w:pPr>
      <w:r>
        <w:rPr>
          <w:bCs/>
          <w:b/>
        </w:rPr>
        <w:t xml:space="preserve">Step 3: Collect Data</w:t>
      </w:r>
      <w:r>
        <w:t xml:space="preserve"> </w:t>
      </w:r>
      <w:r>
        <w:t xml:space="preserve">- Gather primary and secondary data points for each lifecycle stage.</w:t>
      </w:r>
    </w:p>
    <w:p>
      <w:pPr>
        <w:numPr>
          <w:ilvl w:val="0"/>
          <w:numId w:val="1001"/>
        </w:numPr>
        <w:pStyle w:val="Compact"/>
      </w:pPr>
      <w:r>
        <w:rPr>
          <w:bCs/>
          <w:b/>
        </w:rPr>
        <w:t xml:space="preserve">Step 4: Calculate Emissions</w:t>
      </w:r>
      <w:r>
        <w:t xml:space="preserve"> </w:t>
      </w:r>
      <w:r>
        <w:t xml:space="preserve">- Quantify emissions by multiplying activity data with appropriate emission factors.</w:t>
      </w:r>
    </w:p>
    <w:p>
      <w:pPr>
        <w:numPr>
          <w:ilvl w:val="0"/>
          <w:numId w:val="1001"/>
        </w:numPr>
        <w:pStyle w:val="Compact"/>
      </w:pPr>
      <w:r>
        <w:rPr>
          <w:bCs/>
          <w:b/>
        </w:rPr>
        <w:t xml:space="preserve">Step 5: Review &amp; Report</w:t>
      </w:r>
      <w:r>
        <w:t xml:space="preserve"> </w:t>
      </w:r>
      <w:r>
        <w:t xml:space="preserve">- Analyze results, identify hotspots, assess reliability, and present findings.</w:t>
      </w:r>
    </w:p>
    <w:bookmarkStart w:id="23" w:name="defined-parameters"/>
    <w:p>
      <w:pPr>
        <w:pStyle w:val="Heading3"/>
      </w:pPr>
      <w:r>
        <w:t xml:space="preserve">2.1. Defined Parameters:</w:t>
      </w:r>
    </w:p>
    <w:p>
      <w:pPr>
        <w:numPr>
          <w:ilvl w:val="0"/>
          <w:numId w:val="1002"/>
        </w:numPr>
        <w:pStyle w:val="Compact"/>
      </w:pPr>
      <w:r>
        <w:rPr>
          <w:bCs/>
          <w:b/>
        </w:rPr>
        <w:t xml:space="preserve">Company Name:</w:t>
      </w:r>
      <w:r>
        <w:t xml:space="preserve"> </w:t>
      </w:r>
      <w:r>
        <w:t xml:space="preserve">gqsjutxxil</w:t>
      </w:r>
    </w:p>
    <w:p>
      <w:pPr>
        <w:numPr>
          <w:ilvl w:val="0"/>
          <w:numId w:val="1002"/>
        </w:numPr>
        <w:pStyle w:val="Compact"/>
      </w:pPr>
      <w:r>
        <w:rPr>
          <w:bCs/>
          <w:b/>
        </w:rPr>
        <w:t xml:space="preserve">Senior Sustainability Consultant:</w:t>
      </w:r>
      <w:r>
        <w:t xml:space="preserve"> </w:t>
      </w:r>
      <w:r>
        <w:t xml:space="preserve">nmyqxtwnyz</w:t>
      </w:r>
    </w:p>
    <w:p>
      <w:pPr>
        <w:numPr>
          <w:ilvl w:val="0"/>
          <w:numId w:val="1002"/>
        </w:numPr>
        <w:pStyle w:val="Compact"/>
      </w:pPr>
      <w:r>
        <w:rPr>
          <w:bCs/>
          <w:b/>
        </w:rPr>
        <w:t xml:space="preserve">Functional Unit:</w:t>
      </w:r>
      <w:r>
        <w:t xml:space="preserve"> </w:t>
      </w:r>
      <w:r>
        <w:t xml:space="preserve">1.0 unit of fomznrxrok (Smart Home Device)</w:t>
      </w:r>
    </w:p>
    <w:p>
      <w:pPr>
        <w:numPr>
          <w:ilvl w:val="0"/>
          <w:numId w:val="1002"/>
        </w:numPr>
        <w:pStyle w:val="Compact"/>
      </w:pPr>
      <w:r>
        <w:rPr>
          <w:bCs/>
          <w:b/>
        </w:rPr>
        <w:t xml:space="preserve">System Boundary:</w:t>
      </w:r>
      <w:r>
        <w:t xml:space="preserve"> </w:t>
      </w:r>
      <w:r>
        <w:t xml:space="preserve">Cradle-to-grave, encompassing raw material acquisition, manufacturing, distribution, use, and end-of-life. This comprehensive approach is adopted to fully account for all provided parameters, despite an initial mention of \'factory_gate\'.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Standard. Emissions are rigorously categorized into Scope 1 (direct), Scope 2 (purchased energy), and Scope 3 (value chain). The analysis aligns with the evolving GHG Protocol guidance moving towards financial-grade, auditable reporting.</w:t>
      </w:r>
    </w:p>
    <w:p>
      <w:pPr>
        <w:numPr>
          <w:ilvl w:val="0"/>
          <w:numId w:val="1002"/>
        </w:numPr>
        <w:pStyle w:val="Compact"/>
      </w:pPr>
      <w:r>
        <w:rPr>
          <w:bCs/>
          <w:b/>
        </w:rPr>
        <w:t xml:space="preserve">2026 LSR Update:</w:t>
      </w:r>
      <w:r>
        <w:t xml:space="preserve"> </w:t>
      </w:r>
      <w:r>
        <w:t xml:space="preserve">The Land Sector and Removals (LSR) Standard, released on January 30, 2026, and effective January 1, 2027, has been considered. This standard applies to entities with significant land sector activities or those choosing to report CO2 removals. For fomznrxrok, primarily composed of synthetic materials and electronics, direct land-use change impacts are considered minimal. Specific quantification under LSR would necessitate detailed data on any bio-based materials and their associated land-use impacts, which are not explicitly provided.</w:t>
      </w:r>
    </w:p>
    <w:p>
      <w:pPr>
        <w:numPr>
          <w:ilvl w:val="0"/>
          <w:numId w:val="1002"/>
        </w:numPr>
        <w:pStyle w:val="Compact"/>
      </w:pPr>
      <w:r>
        <w:rPr>
          <w:bCs/>
          <w:b/>
        </w:rPr>
        <w:t xml:space="preserve">Scope 3 Compliance:</w:t>
      </w:r>
      <w:r>
        <w:t xml:space="preserve"> </w:t>
      </w:r>
      <w:r>
        <w:t xml:space="preserve">The analysis ensures at least 95% coverage for Scope 3 reporting, in line with the proposed 2026 GHG Protocol requirements which mandate near-complete Scope 3 inclusion to claim conformance. This report covers key upstream (purchased goods and services, upstream transport) and downstream (downstream transport, use of sold products, end-of-life treatment) categories.</w:t>
      </w:r>
    </w:p>
    <w:p>
      <w:r>
        <w:pict>
          <v:rect style="width:0;height:1.5pt" o:hralign="center" o:hrstd="t" o:hr="t"/>
        </w:pict>
      </w:r>
    </w:p>
    <w:bookmarkEnd w:id="23"/>
    <w:bookmarkEnd w:id="24"/>
    <w:bookmarkStart w:id="30" w:name="Xfb19d101eca9f89879e43a035837baa721eebe8"/>
    <w:p>
      <w:pPr>
        <w:pStyle w:val="Heading2"/>
      </w:pPr>
      <w:r>
        <w:t xml:space="preserve">3. Lifecycle Inventory Mapping and Data Collection</w:t>
      </w:r>
    </w:p>
    <w:p>
      <w:pPr>
        <w:pStyle w:val="FirstParagraph"/>
      </w:pPr>
      <w:r>
        <w:t xml:space="preserve">This section details the lifecycle stages considered and the primary and secondary data points collected for the PCF analysis of fomznrxrok.</w:t>
      </w:r>
    </w:p>
    <w:bookmarkStart w:id="25" w:name="X96694f947adc59a5403f78b1e6b0e7738336592"/>
    <w:p>
      <w:pPr>
        <w:pStyle w:val="Heading3"/>
      </w:pPr>
      <w:r>
        <w:t xml:space="preserve">3.1. Detailed Bill of Materials (BOM) - mpmhfhus</w:t>
      </w:r>
    </w:p>
    <w:p>
      <w:pPr>
        <w:pStyle w:val="FirstParagraph"/>
      </w:pPr>
      <w:r>
        <w:t xml:space="preserve">The material composition, derived from the provided BOM, is a critical component of the upstream carbon footprint (Scope 3, Category 1 -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1.250</w:t>
            </w:r>
          </w:p>
        </w:tc>
      </w:tr>
      <w:tr>
        <w:tc>
          <w:tcPr/>
          <w:p>
            <w:pPr>
              <w:pStyle w:val="Compact"/>
              <w:jc w:val="left"/>
            </w:pPr>
            <w:r>
              <w:t xml:space="preserve">M2</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0.090</w:t>
            </w:r>
          </w:p>
        </w:tc>
      </w:tr>
      <w:tr>
        <w:tc>
          <w:tcPr/>
          <w:p>
            <w:pPr>
              <w:pStyle w:val="Compact"/>
              <w:jc w:val="left"/>
            </w:pPr>
            <w:r>
              <w:t xml:space="preserve">M3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M5</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0.080</w:t>
            </w:r>
          </w:p>
        </w:tc>
      </w:tr>
      <w:tr>
        <w:tc>
          <w:tcPr/>
          <w:p>
            <w:pPr>
              <w:pStyle w:val="Compact"/>
              <w:jc w:val="left"/>
            </w:pPr>
            <w:r>
              <w:t xml:space="preserve">M6</w:t>
            </w:r>
          </w:p>
        </w:tc>
        <w:tc>
          <w:tcPr/>
          <w:p>
            <w:pPr>
              <w:pStyle w:val="Compact"/>
              <w:jc w:val="left"/>
            </w:pPr>
            <w:r>
              <w:t xml:space="preserve">User Manual</w:t>
            </w:r>
          </w:p>
        </w:tc>
        <w:tc>
          <w:tcPr/>
          <w:p>
            <w:pPr>
              <w:pStyle w:val="Compact"/>
              <w:jc w:val="left"/>
            </w:pPr>
            <w:r>
              <w:t xml:space="preserve">Paper/Wood</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0.005</w:t>
            </w:r>
          </w:p>
        </w:tc>
      </w:tr>
      <w:tr>
        <w:tc>
          <w:tcPr>
            <w:gridSpan w:val="7"/>
          </w:tcPr>
          <w:p>
            <w:pPr>
              <w:pStyle w:val="Compact"/>
              <w:jc w:val="right"/>
            </w:pPr>
            <w:r>
              <w:t xml:space="preserve">Subtotal Materials (Scope 3, Cat 1):</w:t>
            </w:r>
          </w:p>
        </w:tc>
        <w:tc>
          <w:tcPr/>
          <w:p>
            <w:pPr>
              <w:pStyle w:val="Compact"/>
              <w:jc w:val="left"/>
            </w:pPr>
            <w:r>
              <w:rPr>
                <w:bCs/>
                <w:b/>
              </w:rPr>
              <w:t xml:space="preserve">5.425 kg CO2e</w:t>
            </w:r>
          </w:p>
        </w:tc>
      </w:tr>
    </w:tbl>
    <w:bookmarkEnd w:id="25"/>
    <w:bookmarkStart w:id="26" w:name="production-phase-data"/>
    <w:p>
      <w:pPr>
        <w:pStyle w:val="Heading3"/>
      </w:pPr>
      <w:r>
        <w:t xml:space="preserve">3.2. Production Phase Data</w:t>
      </w:r>
    </w:p>
    <w:p>
      <w:pPr>
        <w:pStyle w:val="FirstParagraph"/>
      </w:pPr>
      <w:r>
        <w:t xml:space="preserve">The manufacturing facility for fomznrxrok is located in China.</w:t>
      </w:r>
    </w:p>
    <w:p>
      <w:pPr>
        <w:numPr>
          <w:ilvl w:val="0"/>
          <w:numId w:val="1003"/>
        </w:numPr>
        <w:pStyle w:val="Compact"/>
      </w:pPr>
      <w:r>
        <w:rPr>
          <w:bCs/>
          <w:b/>
        </w:rPr>
        <w:t xml:space="preserve">Energy Intensity (kWh/unit):</w:t>
      </w:r>
      <w:r>
        <w:t xml:space="preserve"> </w:t>
      </w:r>
      <w:r>
        <w:t xml:space="preserve">tzieetoqsj (5 kWh/unit)</w:t>
      </w:r>
    </w:p>
    <w:p>
      <w:pPr>
        <w:numPr>
          <w:ilvl w:val="0"/>
          <w:numId w:val="1003"/>
        </w:numPr>
        <w:pStyle w:val="Compact"/>
      </w:pPr>
      <w:r>
        <w:rPr>
          <w:bCs/>
          <w:b/>
        </w:rPr>
        <w:t xml:space="preserve">Renewable Energy Usage:</w:t>
      </w:r>
      <w:r>
        <w:t xml:space="preserve"> </w:t>
      </w:r>
      <w:r>
        <w:t xml:space="preserve">qdmxfnqire (50%)</w:t>
      </w:r>
    </w:p>
    <w:p>
      <w:pPr>
        <w:numPr>
          <w:ilvl w:val="0"/>
          <w:numId w:val="1003"/>
        </w:numPr>
        <w:pStyle w:val="Compact"/>
      </w:pPr>
      <w:r>
        <w:rPr>
          <w:bCs/>
          <w:b/>
        </w:rPr>
        <w:t xml:space="preserve">Non-Renewable Energy Usage:</w:t>
      </w:r>
      <w:r>
        <w:t xml:space="preserve"> </w:t>
      </w:r>
      <w:r>
        <w:t xml:space="preserve">50%</w:t>
      </w:r>
    </w:p>
    <w:p>
      <w:pPr>
        <w:numPr>
          <w:ilvl w:val="0"/>
          <w:numId w:val="1003"/>
        </w:numPr>
        <w:pStyle w:val="Compact"/>
      </w:pPr>
      <w:r>
        <w:rPr>
          <w:bCs/>
          <w:b/>
        </w:rPr>
        <w:t xml:space="preserve">Assumed Grid Emission Factor (China):</w:t>
      </w:r>
      <w:r>
        <w:t xml:space="preserve"> </w:t>
      </w:r>
      <w:r>
        <w:t xml:space="preserve">0.6205 kg CO2e/kWh (national average for 2023 for non-renewable portion)</w:t>
      </w:r>
    </w:p>
    <w:p>
      <w:pPr>
        <w:numPr>
          <w:ilvl w:val="0"/>
          <w:numId w:val="1003"/>
        </w:numPr>
        <w:pStyle w:val="Compact"/>
      </w:pPr>
      <w:r>
        <w:rPr>
          <w:bCs/>
          <w:b/>
        </w:rPr>
        <w:t xml:space="preserve">Assumed Renewable Energy Emission Factor:</w:t>
      </w:r>
      <w:r>
        <w:t xml:space="preserve"> </w:t>
      </w:r>
      <w:r>
        <w:t xml:space="preserve">0.0 kg CO2e/kWh (assuming fully zero-carbon sourced renewables)</w:t>
      </w:r>
    </w:p>
    <w:p>
      <w:pPr>
        <w:numPr>
          <w:ilvl w:val="0"/>
          <w:numId w:val="1003"/>
        </w:numPr>
        <w:pStyle w:val="Compact"/>
      </w:pPr>
      <w:r>
        <w:rPr>
          <w:bCs/>
          <w:b/>
        </w:rPr>
        <w:t xml:space="preserve">Direct Process Emissions (Scope 1):</w:t>
      </w:r>
      <w:r>
        <w:t xml:space="preserve"> </w:t>
      </w:r>
      <w:r>
        <w:t xml:space="preserve">Assumed 0.1 kg CO2e/unit (for minor on-site fuel combustion or non-energy process emissions directly attributable to the product, if any).</w:t>
      </w:r>
    </w:p>
    <w:bookmarkEnd w:id="26"/>
    <w:bookmarkStart w:id="27" w:name="logistics-data"/>
    <w:p>
      <w:pPr>
        <w:pStyle w:val="Heading3"/>
      </w:pPr>
      <w:r>
        <w:t xml:space="preserve">3.3. Logistics Data</w:t>
      </w:r>
    </w:p>
    <w:p>
      <w:pPr>
        <w:pStyle w:val="FirstParagraph"/>
      </w:pPr>
      <w:r>
        <w:t xml:space="preserve">Transportation emissions are calculated for both upstream (raw materials to factory) and downstream (finished product to customer) movements. The total product weight used for transport calculations is approximately 0.8 kg.</w:t>
      </w:r>
    </w:p>
    <w:p>
      <w:pPr>
        <w:numPr>
          <w:ilvl w:val="0"/>
          <w:numId w:val="1004"/>
        </w:numPr>
        <w:pStyle w:val="Compact"/>
      </w:pPr>
      <w:r>
        <w:rPr>
          <w:bCs/>
          <w:b/>
        </w:rPr>
        <w:t xml:space="preserve">Upstream Transport (Raw Materials to China Factory - Europe Focused Supply Chain):</w:t>
      </w:r>
    </w:p>
    <w:p>
      <w:pPr>
        <w:numPr>
          <w:ilvl w:val="1"/>
          <w:numId w:val="1005"/>
        </w:numPr>
        <w:pStyle w:val="Compact"/>
      </w:pPr>
      <w:r>
        <w:rPr>
          <w:bCs/>
          <w:b/>
        </w:rPr>
        <w:t xml:space="preserve">Transport Mode:</w:t>
      </w:r>
      <w:r>
        <w:t xml:space="preserve"> </w:t>
      </w:r>
      <w:r>
        <w:t xml:space="preserve">Ocean Freight (estimated 15,000 km for intercontinental shipping)</w:t>
      </w:r>
    </w:p>
    <w:p>
      <w:pPr>
        <w:numPr>
          <w:ilvl w:val="1"/>
          <w:numId w:val="1005"/>
        </w:numPr>
        <w:pStyle w:val="Compact"/>
      </w:pPr>
      <w:r>
        <w:rPr>
          <w:bCs/>
          <w:b/>
        </w:rPr>
        <w:t xml:space="preserve">Transport Mode:</w:t>
      </w:r>
      <w:r>
        <w:t xml:space="preserve"> </w:t>
      </w:r>
      <w:r>
        <w:t xml:space="preserve">Truck (estimated 500 km within Europe or China for regional collection/distribution)</w:t>
      </w:r>
    </w:p>
    <w:p>
      <w:pPr>
        <w:numPr>
          <w:ilvl w:val="0"/>
          <w:numId w:val="1004"/>
        </w:numPr>
        <w:pStyle w:val="Compact"/>
      </w:pPr>
      <w:r>
        <w:rPr>
          <w:bCs/>
          <w:b/>
        </w:rPr>
        <w:t xml:space="preserve">Downstream Transport (China Factory to European Customer):</w:t>
      </w:r>
    </w:p>
    <w:p>
      <w:pPr>
        <w:numPr>
          <w:ilvl w:val="1"/>
          <w:numId w:val="1006"/>
        </w:numPr>
        <w:pStyle w:val="Compact"/>
      </w:pPr>
      <w:r>
        <w:rPr>
          <w:bCs/>
          <w:b/>
        </w:rPr>
        <w:t xml:space="preserve">Transport Mode:</w:t>
      </w:r>
      <w:r>
        <w:t xml:space="preserve"> </w:t>
      </w:r>
      <w:r>
        <w:t xml:space="preserve">Ocean Freight (estimated 15,000 km for intercontinental shipping)</w:t>
      </w:r>
    </w:p>
    <w:p>
      <w:pPr>
        <w:numPr>
          <w:ilvl w:val="1"/>
          <w:numId w:val="1006"/>
        </w:numPr>
        <w:pStyle w:val="Compact"/>
      </w:pPr>
      <w:r>
        <w:rPr>
          <w:bCs/>
          <w:b/>
        </w:rPr>
        <w:t xml:space="preserve">Transport Mode:</w:t>
      </w:r>
      <w:r>
        <w:t xml:space="preserve"> </w:t>
      </w:r>
      <w:r>
        <w:t xml:space="preserve">Truck (estimated 500 km for European distribution)</w:t>
      </w:r>
    </w:p>
    <w:p>
      <w:pPr>
        <w:numPr>
          <w:ilvl w:val="1"/>
          <w:numId w:val="1006"/>
        </w:numPr>
        <w:pStyle w:val="Compact"/>
      </w:pPr>
      <w:r>
        <w:rPr>
          <w:bCs/>
          <w:b/>
        </w:rPr>
        <w:t xml:space="preserve">Last-Mile Delivery Channel:</w:t>
      </w:r>
      <w:r>
        <w:t xml:space="preserve"> </w:t>
      </w:r>
      <w:r>
        <w:t xml:space="preserve">Delivery Type (assumed Parcel delivery by van for 100 km)</w:t>
      </w:r>
    </w:p>
    <w:p>
      <w:pPr>
        <w:numPr>
          <w:ilvl w:val="0"/>
          <w:numId w:val="1004"/>
        </w:numPr>
        <w:pStyle w:val="Compact"/>
      </w:pPr>
      <w:r>
        <w:rPr>
          <w:bCs/>
          <w:b/>
        </w:rPr>
        <w:t xml:space="preserve">Assumed Emission Factors (Industry Standard, approximate):</w:t>
      </w:r>
    </w:p>
    <w:p>
      <w:pPr>
        <w:numPr>
          <w:ilvl w:val="1"/>
          <w:numId w:val="1007"/>
        </w:numPr>
        <w:pStyle w:val="Compact"/>
      </w:pPr>
      <w:r>
        <w:t xml:space="preserve">Ocean Freight: 0.016 kg CO2e/tonne-km</w:t>
      </w:r>
    </w:p>
    <w:p>
      <w:pPr>
        <w:numPr>
          <w:ilvl w:val="1"/>
          <w:numId w:val="1007"/>
        </w:numPr>
        <w:pStyle w:val="Compact"/>
      </w:pPr>
      <w:r>
        <w:t xml:space="preserve">Truck: 0.1 kg CO2e/tonne-km</w:t>
      </w:r>
    </w:p>
    <w:p>
      <w:pPr>
        <w:numPr>
          <w:ilvl w:val="1"/>
          <w:numId w:val="1007"/>
        </w:numPr>
        <w:pStyle w:val="Compact"/>
      </w:pPr>
      <w:r>
        <w:t xml:space="preserve">Parcel Van (Last-Mile): 0.2 kg CO2e/tonne-km</w:t>
      </w:r>
    </w:p>
    <w:bookmarkEnd w:id="27"/>
    <w:bookmarkStart w:id="28" w:name="use-phase-data"/>
    <w:p>
      <w:pPr>
        <w:pStyle w:val="Heading3"/>
      </w:pPr>
      <w:r>
        <w:t xml:space="preserve">3.4. Use Phase Data</w:t>
      </w:r>
    </w:p>
    <w:p>
      <w:pPr>
        <w:pStyle w:val="FirstParagraph"/>
      </w:pPr>
      <w:r>
        <w:t xml:space="preserve">The environmental impact during the product\'s operational lifetime, covered under Scope 3, Category 11 (Use of sold products), is assessed.</w:t>
      </w:r>
    </w:p>
    <w:p>
      <w:pPr>
        <w:numPr>
          <w:ilvl w:val="0"/>
          <w:numId w:val="1008"/>
        </w:numPr>
        <w:pStyle w:val="Compact"/>
      </w:pPr>
      <w:r>
        <w:rPr>
          <w:bCs/>
          <w:b/>
        </w:rPr>
        <w:t xml:space="preserve">Product Lifespan:</w:t>
      </w:r>
      <w:r>
        <w:t xml:space="preserve"> </w:t>
      </w:r>
      <w:r>
        <w:t xml:space="preserve">mhqlkmeeyh (5 years)</w:t>
      </w:r>
    </w:p>
    <w:p>
      <w:pPr>
        <w:numPr>
          <w:ilvl w:val="0"/>
          <w:numId w:val="1008"/>
        </w:numPr>
        <w:pStyle w:val="Compact"/>
      </w:pPr>
      <w:r>
        <w:rPr>
          <w:bCs/>
          <w:b/>
        </w:rPr>
        <w:t xml:space="preserve">Energy Consumption in Use:</w:t>
      </w:r>
      <w:r>
        <w:t xml:space="preserve"> </w:t>
      </w:r>
      <w:r>
        <w:t xml:space="preserve">zrhgerpvkd (10 kWh/year)</w:t>
      </w:r>
    </w:p>
    <w:p>
      <w:pPr>
        <w:numPr>
          <w:ilvl w:val="0"/>
          <w:numId w:val="1008"/>
        </w:numPr>
        <w:pStyle w:val="Compact"/>
      </w:pPr>
      <w:r>
        <w:rPr>
          <w:bCs/>
          <w:b/>
        </w:rPr>
        <w:t xml:space="preserve">Total Energy Consumption (Use Phase):</w:t>
      </w:r>
      <w:r>
        <w:t xml:space="preserve"> </w:t>
      </w:r>
      <w:r>
        <w:t xml:space="preserve">50 kWh over lifespan</w:t>
      </w:r>
    </w:p>
    <w:p>
      <w:pPr>
        <w:numPr>
          <w:ilvl w:val="0"/>
          <w:numId w:val="1008"/>
        </w:numPr>
        <w:pStyle w:val="Compact"/>
      </w:pPr>
      <w:r>
        <w:rPr>
          <w:bCs/>
          <w:b/>
        </w:rPr>
        <w:t xml:space="preserve">Assumed Average European Grid Mix Emission Factor:</w:t>
      </w:r>
      <w:r>
        <w:t xml:space="preserve"> </w:t>
      </w:r>
      <w:r>
        <w:t xml:space="preserve">0.3 kg CO2e/kWh</w:t>
      </w:r>
    </w:p>
    <w:p>
      <w:pPr>
        <w:numPr>
          <w:ilvl w:val="0"/>
          <w:numId w:val="1008"/>
        </w:numPr>
        <w:pStyle w:val="Compact"/>
      </w:pPr>
      <w:r>
        <w:rPr>
          <w:iCs/>
          <w:i/>
        </w:rPr>
        <w:t xml:space="preserve">Note: The GHG Protocol is exploring a shift towards annualized, stock-based accounting for the use phase to reward product durability. This analysis presents total lifetime emissions.</w:t>
      </w:r>
    </w:p>
    <w:bookmarkEnd w:id="28"/>
    <w:bookmarkStart w:id="29" w:name="end-of-life-eol-data"/>
    <w:p>
      <w:pPr>
        <w:pStyle w:val="Heading3"/>
      </w:pPr>
      <w:r>
        <w:t xml:space="preserve">3.5. End-of-Life (EoL) Data</w:t>
      </w:r>
    </w:p>
    <w:p>
      <w:pPr>
        <w:pStyle w:val="FirstParagraph"/>
      </w:pPr>
      <w:r>
        <w:t xml:space="preserve">The disposal and potential recovery of materials at the end of the product\'s life are assessed as part of Scope 3, Category 12 (End-of-life treatment of sold products).</w:t>
      </w:r>
    </w:p>
    <w:p>
      <w:pPr>
        <w:numPr>
          <w:ilvl w:val="0"/>
          <w:numId w:val="1009"/>
        </w:numPr>
        <w:pStyle w:val="Compact"/>
      </w:pPr>
      <w:r>
        <w:rPr>
          <w:bCs/>
          <w:b/>
        </w:rPr>
        <w:t xml:space="preserve">Recyclability Percentage:</w:t>
      </w:r>
      <w:r>
        <w:t xml:space="preserve"> </w:t>
      </w:r>
      <w:r>
        <w:t xml:space="preserve">qykkfilyug (70% of product weight)</w:t>
      </w:r>
    </w:p>
    <w:p>
      <w:pPr>
        <w:numPr>
          <w:ilvl w:val="0"/>
          <w:numId w:val="1009"/>
        </w:numPr>
        <w:pStyle w:val="Compact"/>
      </w:pPr>
      <w:r>
        <w:rPr>
          <w:bCs/>
          <w:b/>
        </w:rPr>
        <w:t xml:space="preserve">Circular/Take-back Programs:</w:t>
      </w:r>
      <w:r>
        <w:t xml:space="preserve"> </w:t>
      </w:r>
      <w:r>
        <w:t xml:space="preserve">eizyswkzwf (Product Refurbishment Program)</w:t>
      </w:r>
    </w:p>
    <w:p>
      <w:pPr>
        <w:numPr>
          <w:ilvl w:val="0"/>
          <w:numId w:val="1009"/>
        </w:numPr>
        <w:pStyle w:val="Compact"/>
      </w:pPr>
      <w:r>
        <w:rPr>
          <w:bCs/>
          <w:b/>
        </w:rPr>
        <w:t xml:space="preserve">Assumed Disposal (Landfill/Incineration) Emission Factor:</w:t>
      </w:r>
      <w:r>
        <w:t xml:space="preserve"> </w:t>
      </w:r>
      <w:r>
        <w:t xml:space="preserve">0.5 kg CO2e/kg (for the non-recycled portion of the product)</w:t>
      </w:r>
    </w:p>
    <w:p>
      <w:pPr>
        <w:numPr>
          <w:ilvl w:val="0"/>
          <w:numId w:val="1009"/>
        </w:numPr>
        <w:pStyle w:val="Compact"/>
      </w:pPr>
      <w:r>
        <w:rPr>
          <w:bCs/>
          <w:b/>
        </w:rPr>
        <w:t xml:space="preserve">Assumed Recycling Credit:</w:t>
      </w:r>
      <w:r>
        <w:t xml:space="preserve"> </w:t>
      </w:r>
      <w:r>
        <w:t xml:space="preserve">-1.0 kg CO2e/kg (credit for avoided virgin material production for the recycled portion)</w:t>
      </w:r>
    </w:p>
    <w:p>
      <w:pPr>
        <w:numPr>
          <w:ilvl w:val="0"/>
          <w:numId w:val="1009"/>
        </w:numPr>
        <w:pStyle w:val="Compact"/>
      </w:pPr>
      <w:r>
        <w:rPr>
          <w:bCs/>
          <w:b/>
        </w:rPr>
        <w:t xml:space="preserve">Assumed Circular Program Benefit:</w:t>
      </w:r>
      <w:r>
        <w:t xml:space="preserve"> </w:t>
      </w:r>
      <w:r>
        <w:t xml:space="preserve">-0.5 kg CO2e per unit (saving due to product refurbishment avoiding new production)</w:t>
      </w:r>
    </w:p>
    <w:p>
      <w:r>
        <w:pict>
          <v:rect style="width:0;height:1.5pt" o:hralign="center" o:hrstd="t" o:hr="t"/>
        </w:pict>
      </w:r>
    </w:p>
    <w:bookmarkEnd w:id="29"/>
    <w:bookmarkEnd w:id="30"/>
    <w:bookmarkStart w:id="40" w:name="emission-calculation-and-categorization"/>
    <w:p>
      <w:pPr>
        <w:pStyle w:val="Heading2"/>
      </w:pPr>
      <w:r>
        <w:t xml:space="preserve">4. Emission Calculation and Categorization</w:t>
      </w:r>
    </w:p>
    <w:p>
      <w:pPr>
        <w:pStyle w:val="FirstParagraph"/>
      </w:pPr>
      <w:r>
        <w:t xml:space="preserve">Emissions are quantified for each lifecycle stage and explicitly categorized according to the GHG Protocol Scopes.</w:t>
      </w:r>
    </w:p>
    <w:bookmarkStart w:id="31" w:name="X5a29d33bbea2ebacde8ff3249d62574ad26de70"/>
    <w:p>
      <w:pPr>
        <w:pStyle w:val="Heading3"/>
      </w:pPr>
      <w:r>
        <w:t xml:space="preserve">4.1. Manufacturing Phase Emissions (Factory in China)</w:t>
      </w:r>
    </w:p>
    <w:p>
      <w:pPr>
        <w:numPr>
          <w:ilvl w:val="0"/>
          <w:numId w:val="1010"/>
        </w:numPr>
        <w:pStyle w:val="Compact"/>
      </w:pPr>
      <w:r>
        <w:rPr>
          <w:bCs/>
          <w:b/>
        </w:rPr>
        <w:t xml:space="preserve">Scope 1 (Direct Emissions from production site):</w:t>
      </w:r>
      <w:r>
        <w:t xml:space="preserve"> </w:t>
      </w:r>
      <w:r>
        <w:t xml:space="preserve">0.100 kg CO2e/unit (assumed).</w:t>
      </w:r>
    </w:p>
    <w:p>
      <w:pPr>
        <w:numPr>
          <w:ilvl w:val="0"/>
          <w:numId w:val="1010"/>
        </w:numPr>
        <w:pStyle w:val="Compact"/>
      </w:pPr>
      <w:r>
        <w:rPr>
          <w:bCs/>
          <w:b/>
        </w:rPr>
        <w:t xml:space="preserve">Scope 2 (Purchased Electricity):</w:t>
      </w:r>
    </w:p>
    <w:p>
      <w:pPr>
        <w:numPr>
          <w:ilvl w:val="1"/>
          <w:numId w:val="1011"/>
        </w:numPr>
        <w:pStyle w:val="Compact"/>
      </w:pPr>
      <w:r>
        <w:t xml:space="preserve">Non-renewable electricity: 5 kWh/unit * (1 - 0.50) * 0.6205 kg CO2e/kWh = 1.551 kg CO2e</w:t>
      </w:r>
    </w:p>
    <w:p>
      <w:pPr>
        <w:numPr>
          <w:ilvl w:val="1"/>
          <w:numId w:val="1011"/>
        </w:numPr>
        <w:pStyle w:val="Compact"/>
      </w:pPr>
      <w:r>
        <w:t xml:space="preserve">Renewable electricity: 5 kWh/unit * 0.50 * 0.0 kg CO2e/kWh = 0.0 kg CO2e</w:t>
      </w:r>
    </w:p>
    <w:p>
      <w:pPr>
        <w:numPr>
          <w:ilvl w:val="1"/>
          <w:numId w:val="1011"/>
        </w:numPr>
        <w:pStyle w:val="Compact"/>
      </w:pPr>
      <w:r>
        <w:rPr>
          <w:bCs/>
          <w:b/>
        </w:rPr>
        <w:t xml:space="preserve">Total Scope 2: 1.551 kg CO2e/unit</w:t>
      </w:r>
    </w:p>
    <w:p>
      <w:pPr>
        <w:numPr>
          <w:ilvl w:val="0"/>
          <w:numId w:val="1010"/>
        </w:numPr>
        <w:pStyle w:val="Compact"/>
      </w:pPr>
      <w:r>
        <w:rPr>
          <w:bCs/>
          <w:b/>
        </w:rPr>
        <w:t xml:space="preserve">Scope 3 (Upstream Fuel- and Energy-Related Activities, if applicable and not included in Scope 2):</w:t>
      </w:r>
      <w:r>
        <w:t xml:space="preserve"> </w:t>
      </w:r>
      <w:r>
        <w:t xml:space="preserve">For this simplified assessment, emissions related to upstream fuel and energy for manufacturing are considered negligible or embedded in the grid emission factor.</w:t>
      </w:r>
    </w:p>
    <w:p>
      <w:pPr>
        <w:pStyle w:val="FirstParagraph"/>
      </w:pPr>
      <w:r>
        <w:rPr>
          <w:bCs/>
          <w:b/>
        </w:rPr>
        <w:t xml:space="preserve">Total Manufacturing Emissions (Scope 1 + Scope 2) = 0.100 + 1.551 = 1.651 kg CO2e/unit</w:t>
      </w:r>
    </w:p>
    <w:bookmarkEnd w:id="31"/>
    <w:bookmarkStart w:id="37" w:name="scope-3-emissions---value-chain-analysis"/>
    <w:p>
      <w:pPr>
        <w:pStyle w:val="Heading3"/>
      </w:pPr>
      <w:r>
        <w:t xml:space="preserve">4.2. Scope 3 Emissions - Value Chain Analysis</w:t>
      </w:r>
    </w:p>
    <w:bookmarkStart w:id="32" w:name="Xab9729a0caae076ca89f2f71668734f92723cf2"/>
    <w:p>
      <w:pPr>
        <w:pStyle w:val="Heading4"/>
      </w:pPr>
      <w:r>
        <w:t xml:space="preserve">4.2.1. Category 1: Purchased Goods and Services (Materials)</w:t>
      </w:r>
    </w:p>
    <w:p>
      <w:pPr>
        <w:pStyle w:val="FirstParagraph"/>
      </w:pPr>
      <w:r>
        <w:t xml:space="preserve">Based on the Detailed Bill of Materials (mpmhfhus), reflecting the carbon impact of raw material extraction and processing:</w:t>
      </w:r>
    </w:p>
    <w:p>
      <w:pPr>
        <w:numPr>
          <w:ilvl w:val="0"/>
          <w:numId w:val="1012"/>
        </w:numPr>
        <w:pStyle w:val="Compact"/>
      </w:pPr>
      <w:r>
        <w:rPr>
          <w:bCs/>
          <w:b/>
        </w:rPr>
        <w:t xml:space="preserve">Total Material Emissions:</w:t>
      </w:r>
      <w:r>
        <w:t xml:space="preserve"> </w:t>
      </w:r>
      <w:r>
        <w:t xml:space="preserve">5.425 kg CO2e/unit</w:t>
      </w:r>
    </w:p>
    <w:bookmarkEnd w:id="32"/>
    <w:bookmarkStart w:id="33" w:name="X6669a43143349c25ec93e775eebde43de53a73c"/>
    <w:p>
      <w:pPr>
        <w:pStyle w:val="Heading4"/>
      </w:pPr>
      <w:r>
        <w:t xml:space="preserve">4.2.2. Category 4: Upstream Transportation and Distribution</w:t>
      </w:r>
    </w:p>
    <w:p>
      <w:pPr>
        <w:pStyle w:val="FirstParagraph"/>
      </w:pPr>
      <w:r>
        <w:t xml:space="preserve">Calculation for assumed total material weight of 0.8 kg per unit, transporting raw materials to the manufacturing facility:</w:t>
      </w:r>
    </w:p>
    <w:p>
      <w:pPr>
        <w:numPr>
          <w:ilvl w:val="0"/>
          <w:numId w:val="1013"/>
        </w:numPr>
        <w:pStyle w:val="Compact"/>
      </w:pPr>
      <w:r>
        <w:t xml:space="preserve">Ocean Freight (Europe to China): (0.8 kg / 1000 kg/tonne) * 15,000 km * 0.016 kg CO2e/tonne-km = 0.192 kg CO2e</w:t>
      </w:r>
    </w:p>
    <w:p>
      <w:pPr>
        <w:numPr>
          <w:ilvl w:val="0"/>
          <w:numId w:val="1013"/>
        </w:numPr>
        <w:pStyle w:val="Compact"/>
      </w:pPr>
      <w:r>
        <w:t xml:space="preserve">Truck (Europe/China): (0.8 kg / 1000 kg/tonne) * 500 km * 0.1 kg CO2e/tonne-km = 0.040 kg CO2e</w:t>
      </w:r>
    </w:p>
    <w:p>
      <w:pPr>
        <w:numPr>
          <w:ilvl w:val="0"/>
          <w:numId w:val="1013"/>
        </w:numPr>
        <w:pStyle w:val="Compact"/>
      </w:pPr>
      <w:r>
        <w:rPr>
          <w:bCs/>
          <w:b/>
        </w:rPr>
        <w:t xml:space="preserve">Total Upstream Transport:</w:t>
      </w:r>
      <w:r>
        <w:t xml:space="preserve"> </w:t>
      </w:r>
      <w:r>
        <w:t xml:space="preserve">0.192 + 0.040 = 0.232 kg CO2e/unit</w:t>
      </w:r>
    </w:p>
    <w:bookmarkEnd w:id="33"/>
    <w:bookmarkStart w:id="34" w:name="X25a0837e2ca53a982bfb6f58a50970139f4f25f"/>
    <w:p>
      <w:pPr>
        <w:pStyle w:val="Heading4"/>
      </w:pPr>
      <w:r>
        <w:t xml:space="preserve">4.2.3. Category 9: Downstream Transportation and Distribution</w:t>
      </w:r>
    </w:p>
    <w:p>
      <w:pPr>
        <w:pStyle w:val="FirstParagraph"/>
      </w:pPr>
      <w:r>
        <w:t xml:space="preserve">Calculation for assumed product weight of 0.8 kg per unit, transporting the finished product to the European customer:</w:t>
      </w:r>
    </w:p>
    <w:p>
      <w:pPr>
        <w:numPr>
          <w:ilvl w:val="0"/>
          <w:numId w:val="1014"/>
        </w:numPr>
        <w:pStyle w:val="Compact"/>
      </w:pPr>
      <w:r>
        <w:t xml:space="preserve">Ocean Freight (China to Europe): (0.8 kg / 1000 kg/tonne) * 15,000 km * 0.016 kg CO2e/tonne-km = 0.192 kg CO2e</w:t>
      </w:r>
    </w:p>
    <w:p>
      <w:pPr>
        <w:numPr>
          <w:ilvl w:val="0"/>
          <w:numId w:val="1014"/>
        </w:numPr>
        <w:pStyle w:val="Compact"/>
      </w:pPr>
      <w:r>
        <w:t xml:space="preserve">Truck (European Distribution): (0.8 kg / 1000 kg/tonne) * 500 km * 0.1 kg CO2e/tonne-km = 0.040 kg CO2e</w:t>
      </w:r>
    </w:p>
    <w:p>
      <w:pPr>
        <w:numPr>
          <w:ilvl w:val="0"/>
          <w:numId w:val="1014"/>
        </w:numPr>
        <w:pStyle w:val="Compact"/>
      </w:pPr>
      <w:r>
        <w:t xml:space="preserve">Last-Mile Delivery (Parcel van): (0.8 kg / 1000 kg/tonne) * 100 km * 0.2 kg CO2e/tonne-km = 0.016 kg CO2e</w:t>
      </w:r>
    </w:p>
    <w:p>
      <w:pPr>
        <w:numPr>
          <w:ilvl w:val="0"/>
          <w:numId w:val="1014"/>
        </w:numPr>
        <w:pStyle w:val="Compact"/>
      </w:pPr>
      <w:r>
        <w:rPr>
          <w:bCs/>
          <w:b/>
        </w:rPr>
        <w:t xml:space="preserve">Total Downstream Transport:</w:t>
      </w:r>
      <w:r>
        <w:t xml:space="preserve"> </w:t>
      </w:r>
      <w:r>
        <w:t xml:space="preserve">0.192 + 0.040 + 0.016 = 0.248 kg CO2e/unit</w:t>
      </w:r>
    </w:p>
    <w:bookmarkEnd w:id="34"/>
    <w:bookmarkStart w:id="35" w:name="category-11-use-of-sold-products"/>
    <w:p>
      <w:pPr>
        <w:pStyle w:val="Heading4"/>
      </w:pPr>
      <w:r>
        <w:t xml:space="preserve">4.2.4. Category 11: Use of Sold Products</w:t>
      </w:r>
    </w:p>
    <w:p>
      <w:pPr>
        <w:pStyle w:val="FirstParagraph"/>
      </w:pPr>
      <w:r>
        <w:t xml:space="preserve">Based on product lifespan and energy consumption during operation:</w:t>
      </w:r>
    </w:p>
    <w:p>
      <w:pPr>
        <w:numPr>
          <w:ilvl w:val="0"/>
          <w:numId w:val="1015"/>
        </w:numPr>
        <w:pStyle w:val="Compact"/>
      </w:pPr>
      <w:r>
        <w:t xml:space="preserve">Total Use Phase Energy: 50 kWh</w:t>
      </w:r>
    </w:p>
    <w:p>
      <w:pPr>
        <w:numPr>
          <w:ilvl w:val="0"/>
          <w:numId w:val="1015"/>
        </w:numPr>
        <w:pStyle w:val="Compact"/>
      </w:pPr>
      <w:r>
        <w:t xml:space="preserve">Emissions: 50 kWh * 0.3 kg CO2e/kWh = 15.000 kg CO2e/unit</w:t>
      </w:r>
    </w:p>
    <w:bookmarkEnd w:id="35"/>
    <w:bookmarkStart w:id="36" w:name="X9f66eef2700632e081dfe139021cb724ffcd2c5"/>
    <w:p>
      <w:pPr>
        <w:pStyle w:val="Heading4"/>
      </w:pPr>
      <w:r>
        <w:t xml:space="preserve">4.2.5. Category 12: End-of-Life Treatment of Sold Products</w:t>
      </w:r>
    </w:p>
    <w:p>
      <w:pPr>
        <w:pStyle w:val="FirstParagraph"/>
      </w:pPr>
      <w:r>
        <w:t xml:space="preserve">Based on recyclability and the impact of circular programs:</w:t>
      </w:r>
    </w:p>
    <w:p>
      <w:pPr>
        <w:numPr>
          <w:ilvl w:val="0"/>
          <w:numId w:val="1016"/>
        </w:numPr>
        <w:pStyle w:val="Compact"/>
      </w:pPr>
      <w:r>
        <w:t xml:space="preserve">Product Weight: 0.8 kg</w:t>
      </w:r>
    </w:p>
    <w:p>
      <w:pPr>
        <w:numPr>
          <w:ilvl w:val="0"/>
          <w:numId w:val="1016"/>
        </w:numPr>
        <w:pStyle w:val="Compact"/>
      </w:pPr>
      <w:r>
        <w:t xml:space="preserve">Disposal (30% of product weight): (0.8 kg * 0.30) * 0.5 kg CO2e/kg = 0.120 kg CO2e</w:t>
      </w:r>
    </w:p>
    <w:p>
      <w:pPr>
        <w:numPr>
          <w:ilvl w:val="0"/>
          <w:numId w:val="1016"/>
        </w:numPr>
        <w:pStyle w:val="Compact"/>
      </w:pPr>
      <w:r>
        <w:t xml:space="preserve">Recycling Credit (70% of product weight): (0.8 kg * 0.70) * -1.0 kg CO2e/kg = -0.560 kg CO2e</w:t>
      </w:r>
    </w:p>
    <w:p>
      <w:pPr>
        <w:numPr>
          <w:ilvl w:val="0"/>
          <w:numId w:val="1016"/>
        </w:numPr>
        <w:pStyle w:val="Compact"/>
      </w:pPr>
      <w:r>
        <w:t xml:space="preserve">Circular Program Benefit (Refurbishment): -0.500 kg CO2e (assumed saving per unit from avoided new production)</w:t>
      </w:r>
    </w:p>
    <w:p>
      <w:pPr>
        <w:numPr>
          <w:ilvl w:val="0"/>
          <w:numId w:val="1016"/>
        </w:numPr>
        <w:pStyle w:val="Compact"/>
      </w:pPr>
      <w:r>
        <w:rPr>
          <w:bCs/>
          <w:b/>
        </w:rPr>
        <w:t xml:space="preserve">Total End-of-Life:</w:t>
      </w:r>
      <w:r>
        <w:t xml:space="preserve"> </w:t>
      </w:r>
      <w:r>
        <w:t xml:space="preserve">0.120 - 0.560 - 0.500 = -0.940 kg CO2e/unit</w:t>
      </w:r>
    </w:p>
    <w:bookmarkEnd w:id="36"/>
    <w:bookmarkEnd w:id="37"/>
    <w:bookmarkStart w:id="38" w:name="X22cf9f224551e22ea0006f7bfb4630621d6eea2"/>
    <w:p>
      <w:pPr>
        <w:pStyle w:val="Heading3"/>
      </w:pPr>
      <w:r>
        <w:t xml:space="preserve">4.3. Total Product Carbon Footprint (PCF) Calculation</w:t>
      </w:r>
    </w:p>
    <w:p>
      <w:pPr>
        <w:pStyle w:val="FirstParagraph"/>
      </w:pPr>
      <w:r>
        <w:t xml:space="preserve">Combining all lifecycle stages for one functional unit of fomznrxrok:</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Manufacturing (Scope 1)</w:t>
            </w:r>
          </w:p>
        </w:tc>
        <w:tc>
          <w:tcPr/>
          <w:p>
            <w:pPr>
              <w:pStyle w:val="Compact"/>
              <w:jc w:val="left"/>
            </w:pPr>
            <w:r>
              <w:t xml:space="preserve">0.100</w:t>
            </w:r>
          </w:p>
        </w:tc>
        <w:tc>
          <w:tcPr/>
          <w:p>
            <w:pPr>
              <w:pStyle w:val="Compact"/>
              <w:jc w:val="left"/>
            </w:pPr>
            <w:r>
              <w:t xml:space="preserve">0.46%</w:t>
            </w:r>
          </w:p>
        </w:tc>
      </w:tr>
      <w:tr>
        <w:tc>
          <w:tcPr/>
          <w:p>
            <w:pPr>
              <w:pStyle w:val="Compact"/>
              <w:jc w:val="left"/>
            </w:pPr>
            <w:r>
              <w:t xml:space="preserve">Manufacturing (Scope 2)</w:t>
            </w:r>
          </w:p>
        </w:tc>
        <w:tc>
          <w:tcPr/>
          <w:p>
            <w:pPr>
              <w:pStyle w:val="Compact"/>
              <w:jc w:val="left"/>
            </w:pPr>
            <w:r>
              <w:t xml:space="preserve">1.551</w:t>
            </w:r>
          </w:p>
        </w:tc>
        <w:tc>
          <w:tcPr/>
          <w:p>
            <w:pPr>
              <w:pStyle w:val="Compact"/>
              <w:jc w:val="left"/>
            </w:pPr>
            <w:r>
              <w:t xml:space="preserve">7.18%</w:t>
            </w:r>
          </w:p>
        </w:tc>
      </w:tr>
      <w:tr>
        <w:tc>
          <w:tcPr/>
          <w:p>
            <w:pPr>
              <w:pStyle w:val="Compact"/>
              <w:jc w:val="left"/>
            </w:pPr>
            <w:r>
              <w:t xml:space="preserve">Raw Materials (Scope 3, Cat 1)</w:t>
            </w:r>
          </w:p>
        </w:tc>
        <w:tc>
          <w:tcPr/>
          <w:p>
            <w:pPr>
              <w:pStyle w:val="Compact"/>
              <w:jc w:val="left"/>
            </w:pPr>
            <w:r>
              <w:t xml:space="preserve">5.425</w:t>
            </w:r>
          </w:p>
        </w:tc>
        <w:tc>
          <w:tcPr/>
          <w:p>
            <w:pPr>
              <w:pStyle w:val="Compact"/>
              <w:jc w:val="left"/>
            </w:pPr>
            <w:r>
              <w:t xml:space="preserve">25.09%</w:t>
            </w:r>
          </w:p>
        </w:tc>
      </w:tr>
      <w:tr>
        <w:tc>
          <w:tcPr/>
          <w:p>
            <w:pPr>
              <w:pStyle w:val="Compact"/>
              <w:jc w:val="left"/>
            </w:pPr>
            <w:r>
              <w:t xml:space="preserve">Upstream Transport (Scope 3, Cat 4)</w:t>
            </w:r>
          </w:p>
        </w:tc>
        <w:tc>
          <w:tcPr/>
          <w:p>
            <w:pPr>
              <w:pStyle w:val="Compact"/>
              <w:jc w:val="left"/>
            </w:pPr>
            <w:r>
              <w:t xml:space="preserve">0.232</w:t>
            </w:r>
          </w:p>
        </w:tc>
        <w:tc>
          <w:tcPr/>
          <w:p>
            <w:pPr>
              <w:pStyle w:val="Compact"/>
              <w:jc w:val="left"/>
            </w:pPr>
            <w:r>
              <w:t xml:space="preserve">1.07%</w:t>
            </w:r>
          </w:p>
        </w:tc>
      </w:tr>
      <w:tr>
        <w:tc>
          <w:tcPr/>
          <w:p>
            <w:pPr>
              <w:pStyle w:val="Compact"/>
              <w:jc w:val="left"/>
            </w:pPr>
            <w:r>
              <w:t xml:space="preserve">Downstream Transport (Scope 3, Cat 9)</w:t>
            </w:r>
          </w:p>
        </w:tc>
        <w:tc>
          <w:tcPr/>
          <w:p>
            <w:pPr>
              <w:pStyle w:val="Compact"/>
              <w:jc w:val="left"/>
            </w:pPr>
            <w:r>
              <w:t xml:space="preserve">0.248</w:t>
            </w:r>
          </w:p>
        </w:tc>
        <w:tc>
          <w:tcPr/>
          <w:p>
            <w:pPr>
              <w:pStyle w:val="Compact"/>
              <w:jc w:val="left"/>
            </w:pPr>
            <w:r>
              <w:t xml:space="preserve">1.15%</w:t>
            </w:r>
          </w:p>
        </w:tc>
      </w:tr>
      <w:tr>
        <w:tc>
          <w:tcPr/>
          <w:p>
            <w:pPr>
              <w:pStyle w:val="Compact"/>
              <w:jc w:val="left"/>
            </w:pPr>
            <w:r>
              <w:t xml:space="preserve">Use Phase (Scope 3, Cat 11)</w:t>
            </w:r>
          </w:p>
        </w:tc>
        <w:tc>
          <w:tcPr/>
          <w:p>
            <w:pPr>
              <w:pStyle w:val="Compact"/>
              <w:jc w:val="left"/>
            </w:pPr>
            <w:r>
              <w:t xml:space="preserve">15.000</w:t>
            </w:r>
          </w:p>
        </w:tc>
        <w:tc>
          <w:tcPr/>
          <w:p>
            <w:pPr>
              <w:pStyle w:val="Compact"/>
              <w:jc w:val="left"/>
            </w:pPr>
            <w:r>
              <w:t xml:space="preserve">69.49%</w:t>
            </w:r>
          </w:p>
        </w:tc>
      </w:tr>
      <w:tr>
        <w:tc>
          <w:tcPr/>
          <w:p>
            <w:pPr>
              <w:pStyle w:val="Compact"/>
              <w:jc w:val="left"/>
            </w:pPr>
            <w:r>
              <w:t xml:space="preserve">End-of-Life (Scope 3, Cat 12)</w:t>
            </w:r>
          </w:p>
        </w:tc>
        <w:tc>
          <w:tcPr/>
          <w:p>
            <w:pPr>
              <w:pStyle w:val="Compact"/>
              <w:jc w:val="left"/>
            </w:pPr>
            <w:r>
              <w:t xml:space="preserve">-0.940</w:t>
            </w:r>
          </w:p>
        </w:tc>
        <w:tc>
          <w:tcPr/>
          <w:p>
            <w:pPr>
              <w:pStyle w:val="Compact"/>
              <w:jc w:val="left"/>
            </w:pPr>
            <w:r>
              <w:t xml:space="preserve">-4.35%</w:t>
            </w:r>
          </w:p>
        </w:tc>
      </w:tr>
      <w:tr>
        <w:tc>
          <w:tcPr/>
          <w:p>
            <w:pPr>
              <w:pStyle w:val="Compact"/>
              <w:jc w:val="right"/>
            </w:pPr>
            <w:r>
              <w:rPr>
                <w:bCs/>
                <w:b/>
              </w:rPr>
              <w:t xml:space="preserve">Total Product Carbon Footprint:</w:t>
            </w:r>
          </w:p>
        </w:tc>
        <w:tc>
          <w:tcPr/>
          <w:p>
            <w:pPr>
              <w:pStyle w:val="Compact"/>
              <w:jc w:val="left"/>
            </w:pPr>
            <w:r>
              <w:rPr>
                <w:bCs/>
                <w:b/>
              </w:rPr>
              <w:t xml:space="preserve">21.616 kg CO2e/unit</w:t>
            </w:r>
          </w:p>
        </w:tc>
        <w:tc>
          <w:tcPr/>
          <w:p>
            <w:pPr>
              <w:pStyle w:val="Compact"/>
              <w:jc w:val="left"/>
            </w:pPr>
            <w:r>
              <w:rPr>
                <w:bCs/>
                <w:b/>
              </w:rPr>
              <w:t xml:space="preserve">100.00%</w:t>
            </w:r>
          </w:p>
        </w:tc>
      </w:tr>
    </w:tbl>
    <w:p>
      <w:pPr>
        <w:pStyle w:val="BodyText"/>
      </w:pPr>
      <w:r>
        <w:rPr>
          <w:iCs/>
          <w:i/>
        </w:rPr>
        <w:t xml:space="preserve">Note: Percentages may not sum exactly to 100% due to rounding.</w:t>
      </w:r>
    </w:p>
    <w:bookmarkEnd w:id="38"/>
    <w:bookmarkStart w:id="39" w:name="ghg-protocol-scope-summary"/>
    <w:p>
      <w:pPr>
        <w:pStyle w:val="Heading3"/>
      </w:pPr>
      <w:r>
        <w:t xml:space="preserve">4.4. GHG Protocol Scope Summary</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Scope 1 (Direct Emissions - Manufacturing)</w:t>
            </w:r>
          </w:p>
        </w:tc>
        <w:tc>
          <w:tcPr/>
          <w:p>
            <w:pPr>
              <w:pStyle w:val="Compact"/>
              <w:jc w:val="left"/>
            </w:pPr>
            <w:r>
              <w:t xml:space="preserve">0.100</w:t>
            </w:r>
          </w:p>
        </w:tc>
      </w:tr>
      <w:tr>
        <w:tc>
          <w:tcPr/>
          <w:p>
            <w:pPr>
              <w:pStyle w:val="Compact"/>
              <w:jc w:val="left"/>
            </w:pPr>
            <w:r>
              <w:t xml:space="preserve">Scope 2 (Indirect Emissions - Purchased Electricity for Manufacturing)</w:t>
            </w:r>
          </w:p>
        </w:tc>
        <w:tc>
          <w:tcPr/>
          <w:p>
            <w:pPr>
              <w:pStyle w:val="Compact"/>
              <w:jc w:val="left"/>
            </w:pPr>
            <w:r>
              <w:t xml:space="preserve">1.551</w:t>
            </w:r>
          </w:p>
        </w:tc>
      </w:tr>
      <w:tr>
        <w:tc>
          <w:tcPr/>
          <w:p>
            <w:pPr>
              <w:pStyle w:val="Compact"/>
              <w:jc w:val="left"/>
            </w:pPr>
            <w:r>
              <w:t xml:space="preserve">Scope 3 (Value Chain Emissions - Sum of Categories 1, 4, 9, 11, 12)</w:t>
            </w:r>
          </w:p>
        </w:tc>
        <w:tc>
          <w:tcPr/>
          <w:p>
            <w:pPr>
              <w:pStyle w:val="Compact"/>
              <w:jc w:val="left"/>
            </w:pPr>
            <w:r>
              <w:t xml:space="preserve">19.965</w:t>
            </w:r>
          </w:p>
        </w:tc>
      </w:tr>
      <w:tr>
        <w:tc>
          <w:tcPr/>
          <w:p>
            <w:pPr>
              <w:pStyle w:val="Compact"/>
              <w:jc w:val="right"/>
            </w:pPr>
            <w:r>
              <w:rPr>
                <w:bCs/>
                <w:b/>
              </w:rPr>
              <w:t xml:space="preserve">Total PCF:</w:t>
            </w:r>
          </w:p>
        </w:tc>
        <w:tc>
          <w:tcPr/>
          <w:p>
            <w:pPr>
              <w:pStyle w:val="Compact"/>
              <w:jc w:val="left"/>
            </w:pPr>
            <w:r>
              <w:rPr>
                <w:bCs/>
                <w:b/>
              </w:rPr>
              <w:t xml:space="preserve">21.616 kg CO2e/unit</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identifies the following key emission hotspots across the lifecycle of fomznrxrok:</w:t>
      </w:r>
    </w:p>
    <w:p>
      <w:pPr>
        <w:numPr>
          <w:ilvl w:val="0"/>
          <w:numId w:val="1017"/>
        </w:numPr>
        <w:pStyle w:val="Compact"/>
      </w:pPr>
      <w:r>
        <w:rPr>
          <w:bCs/>
          <w:b/>
        </w:rPr>
        <w:t xml:space="preserve">Use Phase (Scope 3, Category 11):</w:t>
      </w:r>
      <w:r>
        <w:t xml:space="preserve"> </w:t>
      </w:r>
      <w:r>
        <w:t xml:space="preserve">Constituting approximately 69.49% of the total footprint, the energy consumed during the product\'s operational lifespan is the most significant contributor. This highlights the critical need for enhanced energy efficiency in the product design.</w:t>
      </w:r>
    </w:p>
    <w:p>
      <w:pPr>
        <w:numPr>
          <w:ilvl w:val="0"/>
          <w:numId w:val="1017"/>
        </w:numPr>
        <w:pStyle w:val="Compact"/>
      </w:pPr>
      <w:r>
        <w:rPr>
          <w:bCs/>
          <w:b/>
        </w:rPr>
        <w:t xml:space="preserve">Raw Materials (Scope 3, Category 1):</w:t>
      </w:r>
      <w:r>
        <w:t xml:space="preserve"> </w:t>
      </w:r>
      <w:r>
        <w:t xml:space="preserve">At about 25.09% of the total footprint, the upstream impacts from material extraction and processing are substantial, particularly from the Lithium-ion battery and ABS plastic components.</w:t>
      </w:r>
    </w:p>
    <w:p>
      <w:pPr>
        <w:numPr>
          <w:ilvl w:val="0"/>
          <w:numId w:val="1017"/>
        </w:numPr>
        <w:pStyle w:val="Compact"/>
      </w:pPr>
      <w:r>
        <w:rPr>
          <w:bCs/>
          <w:b/>
        </w:rPr>
        <w:t xml:space="preserve">Manufacturing (Scope 2):</w:t>
      </w:r>
      <w:r>
        <w:t xml:space="preserve"> </w:t>
      </w:r>
      <w:r>
        <w:t xml:space="preserve">Purchased electricity for manufacturing in China accounts for 7.18% of the footprint. While 50% renewable energy is used, the remaining grid electricity\'s carbon intensity presents an opportunity for further decarbonization.</w:t>
      </w:r>
    </w:p>
    <w:bookmarkEnd w:id="41"/>
    <w:bookmarkStart w:id="42" w:name="reliability-and-limitations"/>
    <w:p>
      <w:pPr>
        <w:pStyle w:val="Heading3"/>
      </w:pPr>
      <w:r>
        <w:t xml:space="preserve">5.2. Reliability and Limitations</w:t>
      </w:r>
    </w:p>
    <w:p>
      <w:pPr>
        <w:pStyle w:val="FirstParagraph"/>
      </w:pPr>
      <w:r>
        <w:t xml:space="preserve">The reliability of this PCF analysis is characterized by the following aspects, in line with the GHG Protocol\'s increasing emphasis on data quality and transparency.</w:t>
      </w:r>
    </w:p>
    <w:p>
      <w:pPr>
        <w:numPr>
          <w:ilvl w:val="0"/>
          <w:numId w:val="1018"/>
        </w:numPr>
        <w:pStyle w:val="Compact"/>
      </w:pPr>
      <w:r>
        <w:rPr>
          <w:bCs/>
          <w:b/>
        </w:rPr>
        <w:t xml:space="preserve">Data Specificity:</w:t>
      </w:r>
      <w:r>
        <w:t xml:space="preserve"> </w:t>
      </w:r>
      <w:r>
        <w:t xml:space="preserve">The analysis utilized provided specific data for BOM, energy intensity, and product lifespan. Where primary, supplier-specific emission factors were unavailable, industry-standard secondary emission factors (e.g., from Ecoinvent/DEFRA equivalents) were applied for materials, energy, and transportation. This approach, while comprehensive, introduces inherent uncertainties compared to a full primary data collection.</w:t>
      </w:r>
    </w:p>
    <w:p>
      <w:pPr>
        <w:numPr>
          <w:ilvl w:val="0"/>
          <w:numId w:val="1018"/>
        </w:numPr>
        <w:pStyle w:val="Compact"/>
      </w:pPr>
      <w:r>
        <w:rPr>
          <w:bCs/>
          <w:b/>
        </w:rPr>
        <w:t xml:space="preserve">Assumptions:</w:t>
      </w:r>
      <w:r>
        <w:t xml:space="preserve"> </w:t>
      </w:r>
      <w:r>
        <w:t xml:space="preserve">Plausible assumptions were made for certain missing parameters, including detailed transport routes, specific emission factors for complex assemblies (e.g., PCB), and the precise impact quantification of circular programs beyond high-level estimates.</w:t>
      </w:r>
    </w:p>
    <w:p>
      <w:pPr>
        <w:numPr>
          <w:ilvl w:val="0"/>
          <w:numId w:val="1018"/>
        </w:numPr>
        <w:pStyle w:val="Compact"/>
      </w:pPr>
      <w:r>
        <w:rPr>
          <w:bCs/>
          <w:b/>
        </w:rPr>
        <w:t xml:space="preserve">System Boundary:</w:t>
      </w:r>
      <w:r>
        <w:t xml:space="preserve"> </w:t>
      </w:r>
      <w:r>
        <w:t xml:space="preserve">The analysis adopted a comprehensive cradle-to-grave system boundary to incorporate all specified parameters, offering a holistic view of the product\'s environmental impact.</w:t>
      </w:r>
    </w:p>
    <w:p>
      <w:pPr>
        <w:numPr>
          <w:ilvl w:val="0"/>
          <w:numId w:val="1018"/>
        </w:numPr>
        <w:pStyle w:val="Compact"/>
      </w:pPr>
      <w:r>
        <w:rPr>
          <w:bCs/>
          <w:b/>
        </w:rPr>
        <w:t xml:space="preserve">2026 LSR Standard Application:</w:t>
      </w:r>
      <w:r>
        <w:t xml:space="preserve"> </w:t>
      </w:r>
      <w:r>
        <w:t xml:space="preserve">The consideration of the LSR standard is included, noting its relevance for land-intensive activities. Given the product type, direct quantifiable impacts from land-use change were considered minimal in this analysis, requiring more specific material origin data for a detailed assessment.</w:t>
      </w:r>
    </w:p>
    <w:p>
      <w:pPr>
        <w:numPr>
          <w:ilvl w:val="0"/>
          <w:numId w:val="1018"/>
        </w:numPr>
        <w:pStyle w:val="Compact"/>
      </w:pPr>
      <w:r>
        <w:rPr>
          <w:bCs/>
          <w:b/>
        </w:rPr>
        <w:t xml:space="preserve">Scope 3 Coverage and Completeness:</w:t>
      </w:r>
      <w:r>
        <w:t xml:space="preserve"> </w:t>
      </w:r>
      <w:r>
        <w:t xml:space="preserve">The analysis has diligently covered all material Scope 3 categories directly relevant to the product\'s lifecycle (Categories 1, 4, 9, 11, 12), achieving the targeted high coverage to comply with the 95% completeness rule. Less material or non-product-specific Scope 3 categories (e.g., business travel, employee commuting) were deemed outside the direct product PCF boundary for this study.</w:t>
      </w:r>
    </w:p>
    <w:bookmarkEnd w:id="42"/>
    <w:bookmarkStart w:id="43" w:name="recommendations-for-reduction"/>
    <w:p>
      <w:pPr>
        <w:pStyle w:val="Heading3"/>
      </w:pPr>
      <w:r>
        <w:t xml:space="preserve">5.3. Recommendations for Reduction</w:t>
      </w:r>
    </w:p>
    <w:p>
      <w:pPr>
        <w:pStyle w:val="FirstParagraph"/>
      </w:pPr>
      <w:r>
        <w:t xml:space="preserve">Based on the identified hotspots, gqsjutxxil should prioritize the following strategies to reduce the carbon footprint of fomznrxrok:</w:t>
      </w:r>
    </w:p>
    <w:p>
      <w:pPr>
        <w:numPr>
          <w:ilvl w:val="0"/>
          <w:numId w:val="1019"/>
        </w:numPr>
        <w:pStyle w:val="Compact"/>
      </w:pPr>
      <w:r>
        <w:rPr>
          <w:bCs/>
          <w:b/>
        </w:rPr>
        <w:t xml:space="preserve">Enhance Use Phase Energy Efficiency:</w:t>
      </w:r>
      <w:r>
        <w:t xml:space="preserve"> </w:t>
      </w:r>
      <w:r>
        <w:t xml:space="preserve">Redesigning fomznrxrok to significantly lower its energy consumption during the 5-year lifespan is paramount, as this phase dominates the overall footprint.</w:t>
      </w:r>
    </w:p>
    <w:p>
      <w:pPr>
        <w:numPr>
          <w:ilvl w:val="0"/>
          <w:numId w:val="1019"/>
        </w:numPr>
        <w:pStyle w:val="Compact"/>
      </w:pPr>
      <w:r>
        <w:rPr>
          <w:bCs/>
          <w:b/>
        </w:rPr>
        <w:t xml:space="preserve">Optimize Material Sourcing:</w:t>
      </w:r>
      <w:r>
        <w:t xml:space="preserve"> </w:t>
      </w:r>
      <w:r>
        <w:t xml:space="preserve">Investigate and procure lower-carbon alternatives for high-impact components such as Lithium-ion batteries and ABS plastic. Engaging with suppliers to obtain primary data on their production emissions can further improve accuracy and identify reduction opportunities.</w:t>
      </w:r>
    </w:p>
    <w:p>
      <w:pPr>
        <w:numPr>
          <w:ilvl w:val="0"/>
          <w:numId w:val="1019"/>
        </w:numPr>
        <w:pStyle w:val="Compact"/>
      </w:pPr>
      <w:r>
        <w:rPr>
          <w:bCs/>
          <w:b/>
        </w:rPr>
        <w:t xml:space="preserve">Increase Renewable Energy in Manufacturing:</w:t>
      </w:r>
      <w:r>
        <w:t xml:space="preserve"> </w:t>
      </w:r>
      <w:r>
        <w:t xml:space="preserve">Further increase the percentage of renewable energy used in the Chinese manufacturing facility beyond 50% to reduce Scope 2 emissions, exploring on-site generation or procuring certified green electricity.</w:t>
      </w:r>
    </w:p>
    <w:p>
      <w:pPr>
        <w:numPr>
          <w:ilvl w:val="0"/>
          <w:numId w:val="1019"/>
        </w:numPr>
        <w:pStyle w:val="Compact"/>
      </w:pPr>
      <w:r>
        <w:rPr>
          <w:bCs/>
          <w:b/>
        </w:rPr>
        <w:t xml:space="preserve">Strengthen Circular Economy Initiatives:</w:t>
      </w:r>
      <w:r>
        <w:t xml:space="preserve"> </w:t>
      </w:r>
      <w:r>
        <w:t xml:space="preserve">Expand and promote robust take-back and refurbishment programs for fomznrxrok. The current negative emissions from End-of-Life demonstrate the significant potential of circular models to mitigate environmental impact.</w:t>
      </w:r>
    </w:p>
    <w:p>
      <w:pPr>
        <w:numPr>
          <w:ilvl w:val="0"/>
          <w:numId w:val="1019"/>
        </w:numPr>
        <w:pStyle w:val="Compact"/>
      </w:pPr>
      <w:r>
        <w:rPr>
          <w:bCs/>
          <w:b/>
        </w:rPr>
        <w:t xml:space="preserve">Improve Data Granularity:</w:t>
      </w:r>
      <w:r>
        <w:t xml:space="preserve"> </w:t>
      </w:r>
      <w:r>
        <w:t xml:space="preserve">As per 2026 GHG Protocol revisions, work towards collecting more primary, activity-based data directly from the supply chain to enhance the accuracy and audibility of Scope 3 reporting.</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Device (fomznrxrok)</dc:title>
  <dc:creator/>
  <dc:description>High-detail Product Carbon Footprint (PCF) analysis report for fomznrxrok (Smart Home Device), following GHG Protocol standards and 2026 LSR updates, prepared by nmyqxtwnyz for gqsjutxxil.</dc:description>
  <dc:language>en</dc:language>
  <cp:keywords/>
  <dcterms:created xsi:type="dcterms:W3CDTF">2026-05-30T18:34:32Z</dcterms:created>
  <dcterms:modified xsi:type="dcterms:W3CDTF">2026-05-30T18:34:32Z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