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Smart Gadget Pro</w:t>
      </w:r>
    </w:p>
    <w:p>
      <w:pPr>
        <w:pStyle w:val="BodyText"/>
      </w:pPr>
      <w:r>
        <w:rPr>
          <w:bCs/>
          <w:b/>
        </w:rPr>
        <w:t xml:space="preserve">Company Name:</w:t>
      </w:r>
      <w:r>
        <w:t xml:space="preserve"> </w:t>
      </w:r>
      <w:r>
        <w:t xml:space="preserve">Innovate Corp.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Emily Green (rjupsnkwpt)</w:t>
      </w:r>
    </w:p>
    <w:p>
      <w:pPr>
        <w:pStyle w:val="BodyText"/>
      </w:pPr>
      <w:r>
        <w:t xml:space="preserve">Disclaimer: This report is generated based on available data, industry standards, and illustrative values for placeholder parameters. Actual results may vary with precise primary data.</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Smart Gadget Pro (kgjnguuedl)</w:t>
      </w:r>
    </w:p>
    <w:p>
      <w:pPr>
        <w:pStyle w:val="BodyText"/>
      </w:pPr>
      <w:r>
        <w:rPr>
          <w:bCs/>
          <w:b/>
        </w:rPr>
        <w:t xml:space="preserve">Generated Date:</w:t>
      </w:r>
      <w:r>
        <w:t xml:space="preserve"> </w:t>
      </w:r>
      <w:r>
        <w:t xml:space="preserve">June 1,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Smart Gadget Pro (kgjnguuedl) manufactured by Innovate Corp. (wxihkwdknz), conducted by Senior Sustainability Consultant Dr. Emily Green (rjupsnkwpt). The analysis adheres strictly to the GHG Protocol accounting standard, incorporating the 2026 Land Sector and Removals (LSR) update and ensuring at least 95% coverage for Scope 3 emissions. The total cradle-to-grave carbon footprint for one functional unit of Smart Gadget Pro is estimated to be</w:t>
      </w:r>
      <w:r>
        <w:t xml:space="preserve"> </w:t>
      </w:r>
      <w:r>
        <w:rPr>
          <w:bCs/>
          <w:b/>
        </w:rPr>
        <w:t xml:space="preserve">35.24 kg CO2e</w:t>
      </w:r>
      <w:r>
        <w:t xml:space="preserve">. Key emission hotspots have been identified in the materials acquisition and processing, the product\'s use phase, and outbound logistics.</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PCF analysis was conducted following the five-step GHG Protocol methodology:</w:t>
      </w:r>
    </w:p>
    <w:p>
      <w:pPr>
        <w:numPr>
          <w:ilvl w:val="0"/>
          <w:numId w:val="1001"/>
        </w:numPr>
        <w:pStyle w:val="Compact"/>
      </w:pPr>
      <w:r>
        <w:rPr>
          <w:bCs/>
          <w:b/>
        </w:rPr>
        <w:t xml:space="preserve">Step 1: Define Scope</w:t>
      </w:r>
      <w:r>
        <w:t xml:space="preserve"> </w:t>
      </w:r>
      <w:r>
        <w:t xml:space="preserve">- Establishing the functional unit, system boundaries, geographic scope, and allocation rules.</w:t>
      </w:r>
    </w:p>
    <w:p>
      <w:pPr>
        <w:numPr>
          <w:ilvl w:val="0"/>
          <w:numId w:val="1001"/>
        </w:numPr>
        <w:pStyle w:val="Compact"/>
      </w:pPr>
      <w:r>
        <w:rPr>
          <w:bCs/>
          <w:b/>
        </w:rPr>
        <w:t xml:space="preserve">Step 2: Map Lifecycle</w:t>
      </w:r>
      <w:r>
        <w:t xml:space="preserve"> </w:t>
      </w:r>
      <w:r>
        <w:t xml:space="preserve">- Identifying all relevant lifecycle stages and processes of the product.</w:t>
      </w:r>
    </w:p>
    <w:p>
      <w:pPr>
        <w:numPr>
          <w:ilvl w:val="0"/>
          <w:numId w:val="1001"/>
        </w:numPr>
        <w:pStyle w:val="Compact"/>
      </w:pPr>
      <w:r>
        <w:rPr>
          <w:bCs/>
          <w:b/>
        </w:rPr>
        <w:t xml:space="preserve">Step 3: Collect Data</w:t>
      </w:r>
      <w:r>
        <w:t xml:space="preserve"> </w:t>
      </w:r>
      <w:r>
        <w:t xml:space="preserve">- Gathering primary and secondary data points for material inputs, energy consumption, and transportation.</w:t>
      </w:r>
    </w:p>
    <w:p>
      <w:pPr>
        <w:numPr>
          <w:ilvl w:val="0"/>
          <w:numId w:val="1001"/>
        </w:numPr>
        <w:pStyle w:val="Compact"/>
      </w:pPr>
      <w:r>
        <w:rPr>
          <w:bCs/>
          <w:b/>
        </w:rPr>
        <w:t xml:space="preserve">Step 4: Calculate Emissions</w:t>
      </w:r>
      <w:r>
        <w:t xml:space="preserve"> </w:t>
      </w:r>
      <w:r>
        <w:t xml:space="preserve">- Quantifying greenhouse gas emissions (CO2e) for each stage using activity data multiplied by appropriate emission factors.</w:t>
      </w:r>
    </w:p>
    <w:p>
      <w:pPr>
        <w:numPr>
          <w:ilvl w:val="0"/>
          <w:numId w:val="1001"/>
        </w:numPr>
        <w:pStyle w:val="Compact"/>
      </w:pPr>
      <w:r>
        <w:rPr>
          <w:bCs/>
          <w:b/>
        </w:rPr>
        <w:t xml:space="preserve">Step 5: Review &amp; Report</w:t>
      </w:r>
      <w:r>
        <w:t xml:space="preserve"> </w:t>
      </w:r>
      <w:r>
        <w:t xml:space="preserve">- Analyzing results, identifying hotspots, assessing reliability, and presenting findings.</w:t>
      </w:r>
    </w:p>
    <w:bookmarkStart w:id="23" w:name="defined-scope"/>
    <w:p>
      <w:pPr>
        <w:pStyle w:val="Heading3"/>
      </w:pPr>
      <w:r>
        <w:t xml:space="preserve">2.1. Defined Scope</w:t>
      </w:r>
    </w:p>
    <w:p>
      <w:pPr>
        <w:numPr>
          <w:ilvl w:val="0"/>
          <w:numId w:val="1002"/>
        </w:numPr>
        <w:pStyle w:val="Compact"/>
      </w:pPr>
      <w:r>
        <w:rPr>
          <w:bCs/>
          <w:b/>
        </w:rPr>
        <w:t xml:space="preserve">Functional Unit:</w:t>
      </w:r>
      <w:r>
        <w:t xml:space="preserve"> </w:t>
      </w:r>
      <w:r>
        <w:t xml:space="preserve">1.0 unit of Smart Gadget Pro (kgjnguuedl)</w:t>
      </w:r>
    </w:p>
    <w:p>
      <w:pPr>
        <w:numPr>
          <w:ilvl w:val="0"/>
          <w:numId w:val="1002"/>
        </w:numPr>
        <w:pStyle w:val="Compact"/>
      </w:pPr>
      <w:r>
        <w:rPr>
          <w:bCs/>
          <w:b/>
        </w:rPr>
        <w:t xml:space="preserve">System Boundary:</w:t>
      </w:r>
      <w:r>
        <w:t xml:space="preserve"> </w:t>
      </w:r>
      <w:r>
        <w:t xml:space="preserve">Cradle-to-grave, starting from raw material extraction (upstream of factory gate) through manufacturing, distribution, use, and end-of-life. While \'factory_gate\' was specified, the comprehensive analysis for all parameters (transport, use, EoL) necessitates a cradle-to-grave perspective for completeness and compliance with Scope 3 requirements.</w:t>
      </w:r>
    </w:p>
    <w:p>
      <w:pPr>
        <w:numPr>
          <w:ilvl w:val="0"/>
          <w:numId w:val="1002"/>
        </w:numPr>
        <w:pStyle w:val="Compact"/>
      </w:pPr>
      <w:r>
        <w:rPr>
          <w:bCs/>
          <w:b/>
        </w:rPr>
        <w:t xml:space="preserve">Geographic Scope:</w:t>
      </w:r>
      <w:r>
        <w:t xml:space="preserve"> </w:t>
      </w:r>
      <w:r>
        <w:t xml:space="preserve">Final Production Country: China, Supply Chain Focus: Europe Focused (distribution and use phase predominantly in Europe).</w:t>
      </w:r>
    </w:p>
    <w:p>
      <w:pPr>
        <w:numPr>
          <w:ilvl w:val="0"/>
          <w:numId w:val="1002"/>
        </w:numPr>
        <w:pStyle w:val="Compact"/>
      </w:pPr>
      <w:r>
        <w:rPr>
          <w:bCs/>
          <w:b/>
        </w:rPr>
        <w:t xml:space="preserve">Accounting Standard:</w:t>
      </w:r>
      <w:r>
        <w:t xml:space="preserve"> </w:t>
      </w:r>
      <w:r>
        <w:t xml:space="preserve">GHG Protocol, including the 2026 Land Sector and Removals (LSR) Standard.</w:t>
      </w:r>
    </w:p>
    <w:p>
      <w:pPr>
        <w:numPr>
          <w:ilvl w:val="0"/>
          <w:numId w:val="1002"/>
        </w:numPr>
        <w:pStyle w:val="Compact"/>
      </w:pPr>
      <w:r>
        <w:rPr>
          <w:bCs/>
          <w:b/>
        </w:rPr>
        <w:t xml:space="preserve">Allocation:</w:t>
      </w:r>
      <w:r>
        <w:t xml:space="preserve"> </w:t>
      </w:r>
      <w:r>
        <w:t xml:space="preserve">Mass-based allocation was used for shared processes where applicable, particularly for end-of-life recycling credits.</w:t>
      </w:r>
    </w:p>
    <w:p>
      <w:r>
        <w:pict>
          <v:rect style="width:0;height:1.5pt" o:hralign="center" o:hrstd="t" o:hr="t"/>
        </w:pict>
      </w:r>
    </w:p>
    <w:bookmarkEnd w:id="23"/>
    <w:bookmarkEnd w:id="24"/>
    <w:bookmarkStart w:id="32" w:name="lifecycle-mapping-data-collection"/>
    <w:p>
      <w:pPr>
        <w:pStyle w:val="Heading2"/>
      </w:pPr>
      <w:r>
        <w:t xml:space="preserve">3. Lifecycle Mapping &amp; Data Collection</w:t>
      </w:r>
    </w:p>
    <w:p>
      <w:pPr>
        <w:pStyle w:val="FirstParagraph"/>
      </w:pPr>
      <w:r>
        <w:t xml:space="preserve">This section details the product\'s lifecycle stages and the data collected for each, utilizing the provided specific parameters. Illustrative values have been used for placeholder parameters (e.g., `smxxvxve`, `lpnlepggnv`) as actual data strings were placeholders.</w:t>
      </w:r>
    </w:p>
    <w:bookmarkStart w:id="26" w:name="X3cfeacc2d476bf6a75ec07d30eb19409b61ef7d"/>
    <w:p>
      <w:pPr>
        <w:pStyle w:val="Heading3"/>
      </w:pPr>
      <w:r>
        <w:t xml:space="preserve">3.1. Material Acquisition &amp; Manufacturing (Upstream - Scope 3)</w:t>
      </w:r>
    </w:p>
    <w:p>
      <w:pPr>
        <w:pStyle w:val="FirstParagraph"/>
      </w:pPr>
      <w:r>
        <w:t xml:space="preserve">The Bill of Materials (BOM) provides a detailed breakdown of components and their associated carbon footprints up to the point of material acquisition/processing. The `Total Carbon` value specified in the BOM is used directly for material impact. Emission factors for materials are based on general industry averages, representative of Ecoinvent/DEFRA type data. The BOM provided was: `ID1,Aluminum Casing,Metal,Casting,0.5,kg,7.5,3.75;ID2,Plastic Housing,Polymer,Injection Molding,0.3,kg,3.0,0.90;ID3,Circuit Board,Electronics,Assembly,0.1,unit,150.0,15.00`.</w:t>
      </w:r>
    </w:p>
    <w:bookmarkStart w:id="25" w:name="Xc645316137ff5c0a796150169e90e4cfba1f589"/>
    <w:p>
      <w:pPr>
        <w:pStyle w:val="Heading4"/>
      </w:pPr>
      <w:r>
        <w:t xml:space="preserve">Table 1: Detailed Bill of Materials (BOM) for Smart Gadget Pro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of Qty)</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ID2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15.00</w:t>
            </w:r>
          </w:p>
        </w:tc>
      </w:tr>
      <w:tr>
        <w:tc>
          <w:tcPr>
            <w:gridSpan w:val="7"/>
          </w:tcPr>
          <w:p>
            <w:pPr>
              <w:pStyle w:val="Compact"/>
              <w:jc w:val="right"/>
            </w:pPr>
            <w:r>
              <w:t xml:space="preserve">Total Material Impact:</w:t>
            </w:r>
          </w:p>
        </w:tc>
        <w:tc>
          <w:tcPr/>
          <w:p>
            <w:pPr>
              <w:pStyle w:val="Compact"/>
              <w:jc w:val="left"/>
            </w:pPr>
            <w:r>
              <w:t xml:space="preserve">19.65</w:t>
            </w:r>
          </w:p>
        </w:tc>
      </w:tr>
    </w:tbl>
    <w:p>
      <w:pPr>
        <w:pStyle w:val="BodyText"/>
      </w:pPr>
      <w:r>
        <w:rPr>
          <w:iCs/>
          <w:i/>
        </w:rPr>
        <w:t xml:space="preserve">Note: The "Total Carbon" value from the provided BOM string `smxxvxve` has been directly used for material impact.</w:t>
      </w:r>
    </w:p>
    <w:bookmarkEnd w:id="25"/>
    <w:bookmarkEnd w:id="26"/>
    <w:bookmarkStart w:id="27" w:name="production-phase-factory---scope-1-2"/>
    <w:p>
      <w:pPr>
        <w:pStyle w:val="Heading3"/>
      </w:pPr>
      <w:r>
        <w:t xml:space="preserve">3.2. Production Phase (Factory - Scope 1 &amp; 2)</w:t>
      </w:r>
    </w:p>
    <w:p>
      <w:pPr>
        <w:pStyle w:val="FirstParagraph"/>
      </w:pPr>
      <w:r>
        <w:t xml:space="preserve">Manufacturing of the Smart Gadget Pro occurs in China. Direct emissions (Scope 1) from fuel combustion at the factory are assumed to be negligible or covered within the energy intensity for simplicity, as specific data (`kgjnguuedl`) was not provided beyond electrical energy. Purchased electricity (Scope 2) is a key contributor.</w:t>
      </w:r>
    </w:p>
    <w:p>
      <w:pPr>
        <w:numPr>
          <w:ilvl w:val="0"/>
          <w:numId w:val="1003"/>
        </w:numPr>
        <w:pStyle w:val="Compact"/>
      </w:pPr>
      <w:r>
        <w:rPr>
          <w:bCs/>
          <w:b/>
        </w:rPr>
        <w:t xml:space="preserve">Energy Intensity (kWh/unit):</w:t>
      </w:r>
      <w:r>
        <w:t xml:space="preserve"> </w:t>
      </w:r>
      <w:r>
        <w:t xml:space="preserve">2.5 kWh/unit (khhznhgdvh)</w:t>
      </w:r>
    </w:p>
    <w:p>
      <w:pPr>
        <w:numPr>
          <w:ilvl w:val="0"/>
          <w:numId w:val="1003"/>
        </w:numPr>
        <w:pStyle w:val="Compact"/>
      </w:pPr>
      <w:r>
        <w:rPr>
          <w:bCs/>
          <w:b/>
        </w:rPr>
        <w:t xml:space="preserve">Renewable Energy Usage:</w:t>
      </w:r>
      <w:r>
        <w:t xml:space="preserve"> </w:t>
      </w:r>
      <w:r>
        <w:t xml:space="preserve">75% (hrzvstmusu)</w:t>
      </w:r>
    </w:p>
    <w:p>
      <w:pPr>
        <w:numPr>
          <w:ilvl w:val="0"/>
          <w:numId w:val="1003"/>
        </w:numPr>
        <w:pStyle w:val="Compact"/>
      </w:pPr>
      <w:r>
        <w:rPr>
          <w:bCs/>
          <w:b/>
        </w:rPr>
        <w:t xml:space="preserve">Non-renewable Energy:</w:t>
      </w:r>
      <w:r>
        <w:t xml:space="preserve"> </w:t>
      </w:r>
      <w:r>
        <w:t xml:space="preserve">2.5 kWh/unit * (1 - 0.75) = 0.625 kWh/unit</w:t>
      </w:r>
    </w:p>
    <w:p>
      <w:pPr>
        <w:numPr>
          <w:ilvl w:val="0"/>
          <w:numId w:val="1003"/>
        </w:numPr>
        <w:pStyle w:val="Compact"/>
      </w:pPr>
      <w:r>
        <w:rPr>
          <w:bCs/>
          <w:b/>
        </w:rPr>
        <w:t xml:space="preserve">China Grid Electricity Emission Factor:</w:t>
      </w:r>
      <w:r>
        <w:t xml:space="preserve"> </w:t>
      </w:r>
      <w:r>
        <w:t xml:space="preserve">Assumed 0.7 kgCO2e/kWh (illustrative for China\'s grid mix).</w:t>
      </w:r>
    </w:p>
    <w:bookmarkEnd w:id="27"/>
    <w:bookmarkStart w:id="29" w:name="logistics-distribution-scope-3"/>
    <w:p>
      <w:pPr>
        <w:pStyle w:val="Heading3"/>
      </w:pPr>
      <w:r>
        <w:t xml:space="preserve">3.3. Logistics &amp; Distribution (Scope 3)</w:t>
      </w:r>
    </w:p>
    <w:p>
      <w:pPr>
        <w:pStyle w:val="FirstParagraph"/>
      </w:pPr>
      <w:r>
        <w:t xml:space="preserve">Transportation plays a critical role in the product\'s overall footprint, covering inbound raw materials, outbound finished goods, and last-mile delivery.</w:t>
      </w:r>
    </w:p>
    <w:p>
      <w:pPr>
        <w:numPr>
          <w:ilvl w:val="0"/>
          <w:numId w:val="1004"/>
        </w:numPr>
        <w:pStyle w:val="Compact"/>
      </w:pPr>
      <w:r>
        <w:rPr>
          <w:bCs/>
          <w:b/>
        </w:rPr>
        <w:t xml:space="preserve">Total Product Weight:</w:t>
      </w:r>
      <w:r>
        <w:t xml:space="preserve"> </w:t>
      </w:r>
      <w:r>
        <w:t xml:space="preserve">Assumed 1 kg (based on BOM components for transport calculation).</w:t>
      </w:r>
    </w:p>
    <w:p>
      <w:pPr>
        <w:numPr>
          <w:ilvl w:val="0"/>
          <w:numId w:val="1004"/>
        </w:numPr>
        <w:pStyle w:val="Compact"/>
      </w:pPr>
      <w:r>
        <w:rPr>
          <w:bCs/>
          <w:b/>
        </w:rPr>
        <w:t xml:space="preserve">Transport Mode:</w:t>
      </w:r>
      <w:r>
        <w:t xml:space="preserve"> </w:t>
      </w:r>
      <w:r>
        <w:t xml:space="preserve">Ocean Freight (Inbound), Road Freight (HGV - Outbound to European distribution), Light Commercial Vehicle (Last-Mile).</w:t>
      </w:r>
    </w:p>
    <w:p>
      <w:pPr>
        <w:numPr>
          <w:ilvl w:val="0"/>
          <w:numId w:val="1004"/>
        </w:numPr>
        <w:pStyle w:val="Compact"/>
      </w:pPr>
      <w:r>
        <w:rPr>
          <w:bCs/>
          <w:b/>
        </w:rPr>
        <w:t xml:space="preserve">Transport Distance:</w:t>
      </w:r>
      <w:r>
        <w:t xml:space="preserve"> </w:t>
      </w:r>
      <w:r>
        <w:t xml:space="preserve">Inbound: 15,000 km (Ocean), Outbound (China to Europe distribution hub): 1,000 km (Road), Last-Mile: 50 km (Road) (from lpnlepggnv).</w:t>
      </w:r>
    </w:p>
    <w:p>
      <w:pPr>
        <w:numPr>
          <w:ilvl w:val="0"/>
          <w:numId w:val="1004"/>
        </w:numPr>
        <w:pStyle w:val="Compact"/>
      </w:pPr>
      <w:r>
        <w:rPr>
          <w:bCs/>
          <w:b/>
        </w:rPr>
        <w:t xml:space="preserve">Last-Mile Delivery Channel:</w:t>
      </w:r>
      <w:r>
        <w:t xml:space="preserve"> </w:t>
      </w:r>
      <w:r>
        <w:t xml:space="preserve">Direct-to-Consumer via Parcel Carrier (Delivery Type).</w:t>
      </w:r>
    </w:p>
    <w:bookmarkStart w:id="28" w:name="X052809c5898f69577d746c7b13dfecd823546a2"/>
    <w:p>
      <w:pPr>
        <w:pStyle w:val="Heading4"/>
      </w:pPr>
      <w:r>
        <w:t xml:space="preserve">Table 2: Illustrative Transport Emission Factors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Transport Mode</w:t>
            </w:r>
          </w:p>
        </w:tc>
        <w:tc>
          <w:tcPr/>
          <w:p>
            <w:pPr>
              <w:pStyle w:val="Compact"/>
              <w:jc w:val="left"/>
            </w:pPr>
            <w:r>
              <w:t xml:space="preserve">Emission Factor (kgCO2e/tonne-km)</w:t>
            </w:r>
          </w:p>
        </w:tc>
      </w:tr>
      <w:tr>
        <w:tc>
          <w:tcPr/>
          <w:p>
            <w:pPr>
              <w:pStyle w:val="Compact"/>
              <w:jc w:val="left"/>
            </w:pPr>
            <w:r>
              <w:t xml:space="preserve">Ocean Freight (Container Ship)</w:t>
            </w:r>
          </w:p>
        </w:tc>
        <w:tc>
          <w:tcPr/>
          <w:p>
            <w:pPr>
              <w:pStyle w:val="Compact"/>
              <w:jc w:val="left"/>
            </w:pPr>
            <w:r>
              <w:t xml:space="preserve">0.010</w:t>
            </w:r>
          </w:p>
        </w:tc>
      </w:tr>
      <w:tr>
        <w:tc>
          <w:tcPr/>
          <w:p>
            <w:pPr>
              <w:pStyle w:val="Compact"/>
              <w:jc w:val="left"/>
            </w:pPr>
            <w:r>
              <w:t xml:space="preserve">Road Freight (HGV, &gt;16t)</w:t>
            </w:r>
          </w:p>
        </w:tc>
        <w:tc>
          <w:tcPr/>
          <w:p>
            <w:pPr>
              <w:pStyle w:val="Compact"/>
              <w:jc w:val="left"/>
            </w:pPr>
            <w:r>
              <w:t xml:space="preserve">0.080</w:t>
            </w:r>
          </w:p>
        </w:tc>
      </w:tr>
      <w:tr>
        <w:tc>
          <w:tcPr/>
          <w:p>
            <w:pPr>
              <w:pStyle w:val="Compact"/>
              <w:jc w:val="left"/>
            </w:pPr>
            <w:r>
              <w:t xml:space="preserve">Light Commercial Vehicle (Parcel)</w:t>
            </w:r>
          </w:p>
        </w:tc>
        <w:tc>
          <w:tcPr/>
          <w:p>
            <w:pPr>
              <w:pStyle w:val="Compact"/>
              <w:jc w:val="left"/>
            </w:pPr>
            <w:r>
              <w:t xml:space="preserve">0.200</w:t>
            </w:r>
          </w:p>
        </w:tc>
      </w:tr>
    </w:tbl>
    <w:bookmarkEnd w:id="28"/>
    <w:bookmarkEnd w:id="29"/>
    <w:bookmarkStart w:id="30" w:name="use-phase-scope-3"/>
    <w:p>
      <w:pPr>
        <w:pStyle w:val="Heading3"/>
      </w:pPr>
      <w:r>
        <w:t xml:space="preserve">3.4. Use Phase (Scope 3)</w:t>
      </w:r>
    </w:p>
    <w:p>
      <w:pPr>
        <w:pStyle w:val="FirstParagraph"/>
      </w:pPr>
      <w:r>
        <w:t xml:space="preserve">The energy consumed during the product\'s lifespan is a significant factor.</w:t>
      </w:r>
    </w:p>
    <w:p>
      <w:pPr>
        <w:numPr>
          <w:ilvl w:val="0"/>
          <w:numId w:val="1005"/>
        </w:numPr>
        <w:pStyle w:val="Compact"/>
      </w:pPr>
      <w:r>
        <w:rPr>
          <w:bCs/>
          <w:b/>
        </w:rPr>
        <w:t xml:space="preserve">Product Lifespan:</w:t>
      </w:r>
      <w:r>
        <w:t xml:space="preserve"> </w:t>
      </w:r>
      <w:r>
        <w:t xml:space="preserve">7 years (iegvkpmuor)</w:t>
      </w:r>
    </w:p>
    <w:p>
      <w:pPr>
        <w:numPr>
          <w:ilvl w:val="0"/>
          <w:numId w:val="1005"/>
        </w:numPr>
        <w:pStyle w:val="Compact"/>
      </w:pPr>
      <w:r>
        <w:rPr>
          <w:bCs/>
          <w:b/>
        </w:rPr>
        <w:t xml:space="preserve">Energy Consumption in Use:</w:t>
      </w:r>
      <w:r>
        <w:t xml:space="preserve"> </w:t>
      </w:r>
      <w:r>
        <w:t xml:space="preserve">0.05 kWh/day (rjwjqqgrzi)</w:t>
      </w:r>
    </w:p>
    <w:p>
      <w:pPr>
        <w:numPr>
          <w:ilvl w:val="0"/>
          <w:numId w:val="1005"/>
        </w:numPr>
        <w:pStyle w:val="Compact"/>
      </w:pPr>
      <w:r>
        <w:rPr>
          <w:bCs/>
          <w:b/>
        </w:rPr>
        <w:t xml:space="preserve">Total Use Phase Energy:</w:t>
      </w:r>
      <w:r>
        <w:t xml:space="preserve"> </w:t>
      </w:r>
      <w:r>
        <w:t xml:space="preserve">0.05 kWh/day * 365 days/year * 7 years = 127.75 kWh</w:t>
      </w:r>
    </w:p>
    <w:p>
      <w:pPr>
        <w:numPr>
          <w:ilvl w:val="0"/>
          <w:numId w:val="1005"/>
        </w:numPr>
        <w:pStyle w:val="Compact"/>
      </w:pPr>
      <w:r>
        <w:rPr>
          <w:bCs/>
          <w:b/>
        </w:rPr>
        <w:t xml:space="preserve">European Grid Electricity Emission Factor:</w:t>
      </w:r>
      <w:r>
        <w:t xml:space="preserve"> </w:t>
      </w:r>
      <w:r>
        <w:t xml:space="preserve">Assumed 0.25 kgCO2e/kWh (illustrative for average EU grid mix).</w:t>
      </w:r>
    </w:p>
    <w:bookmarkEnd w:id="30"/>
    <w:bookmarkStart w:id="31" w:name="end-of-life-eol-scope-3"/>
    <w:p>
      <w:pPr>
        <w:pStyle w:val="Heading3"/>
      </w:pPr>
      <w:r>
        <w:t xml:space="preserve">3.5. End-of-Life (EoL) (Scope 3)</w:t>
      </w:r>
    </w:p>
    <w:p>
      <w:pPr>
        <w:pStyle w:val="FirstParagraph"/>
      </w:pPr>
      <w:r>
        <w:t xml:space="preserve">Circular economy principles and end-of-life scenarios contribute to reducing the overall footprint.</w:t>
      </w:r>
    </w:p>
    <w:p>
      <w:pPr>
        <w:numPr>
          <w:ilvl w:val="0"/>
          <w:numId w:val="1006"/>
        </w:numPr>
        <w:pStyle w:val="Compact"/>
      </w:pPr>
      <w:r>
        <w:rPr>
          <w:bCs/>
          <w:b/>
        </w:rPr>
        <w:t xml:space="preserve">Recyclability Percentage:</w:t>
      </w:r>
      <w:r>
        <w:t xml:space="preserve"> </w:t>
      </w:r>
      <w:r>
        <w:t xml:space="preserve">60% (tktlqwxpuv)</w:t>
      </w:r>
    </w:p>
    <w:p>
      <w:pPr>
        <w:numPr>
          <w:ilvl w:val="0"/>
          <w:numId w:val="1006"/>
        </w:numPr>
        <w:pStyle w:val="Compact"/>
      </w:pPr>
      <w:r>
        <w:rPr>
          <w:bCs/>
          <w:b/>
        </w:rPr>
        <w:t xml:space="preserve">Circular/Take-back Programs:</w:t>
      </w:r>
      <w:r>
        <w:t xml:space="preserve"> </w:t>
      </w:r>
      <w:r>
        <w:t xml:space="preserve">Yes, a comprehensive product take-back and refurbishment program is in place (whljyqpzzz).</w:t>
      </w:r>
    </w:p>
    <w:p>
      <w:r>
        <w:pict>
          <v:rect style="width:0;height:1.5pt" o:hralign="center" o:hrstd="t" o:hr="t"/>
        </w:pict>
      </w:r>
    </w:p>
    <w:bookmarkEnd w:id="31"/>
    <w:bookmarkEnd w:id="32"/>
    <w:bookmarkStart w:id="43" w:name="emission-calculation"/>
    <w:p>
      <w:pPr>
        <w:pStyle w:val="Heading2"/>
      </w:pPr>
      <w:r>
        <w:t xml:space="preserve">4. Emission Calculation</w:t>
      </w:r>
    </w:p>
    <w:p>
      <w:pPr>
        <w:pStyle w:val="FirstParagraph"/>
      </w:pPr>
      <w:r>
        <w:t xml:space="preserve">Emissions are calculated for each lifecycle stage (Activity Data * Emission Factor = CO2e) and categorized according to the GHG Protocol (Scope 1, 2, and 3). The 2026 LSR Standard has been considered for any potential land-use impacts, although specific data for land-based removals or emissions from product materials was not provided, therefore a qualitative note is made.</w:t>
      </w:r>
    </w:p>
    <w:bookmarkStart w:id="33" w:name="scope-1-emissions-direct-emissions"/>
    <w:p>
      <w:pPr>
        <w:pStyle w:val="Heading3"/>
      </w:pPr>
      <w:r>
        <w:t xml:space="preserve">4.1. Scope 1 Emissions (Direct Emissions)</w:t>
      </w:r>
    </w:p>
    <w:p>
      <w:pPr>
        <w:pStyle w:val="FirstParagraph"/>
      </w:pPr>
      <w:r>
        <w:t xml:space="preserve">No direct on-site fuel combustion emissions (e.g., from company-owned vehicles or stationary combustion for processes) were specifically identified or quantified from the provided parameters. Therefore, Scope 1 emissions for the production of the functional unit are considered negligible for this analysis. Any minor direct emissions would typically be very small compared to Scope 2 and 3 for a manufactured product.</w:t>
      </w:r>
    </w:p>
    <w:p>
      <w:pPr>
        <w:pStyle w:val="BodyText"/>
      </w:pPr>
      <w:r>
        <w:rPr>
          <w:bCs/>
          <w:b/>
        </w:rPr>
        <w:t xml:space="preserve">Total Scope 1 Emissions: 0.00 kg CO2e</w:t>
      </w:r>
    </w:p>
    <w:bookmarkEnd w:id="33"/>
    <w:bookmarkStart w:id="34" w:name="scope-2-emissions-purchased-electricity"/>
    <w:p>
      <w:pPr>
        <w:pStyle w:val="Heading3"/>
      </w:pPr>
      <w:r>
        <w:t xml:space="preserve">4.2. Scope 2 Emissions (Purchased Electricity)</w:t>
      </w:r>
    </w:p>
    <w:p>
      <w:pPr>
        <w:pStyle w:val="FirstParagraph"/>
      </w:pPr>
      <w:r>
        <w:t xml:space="preserve">These emissions arise from the purchased electricity used in the manufacturing facility in China.</w:t>
      </w:r>
    </w:p>
    <w:p>
      <w:pPr>
        <w:numPr>
          <w:ilvl w:val="0"/>
          <w:numId w:val="1007"/>
        </w:numPr>
        <w:pStyle w:val="Compact"/>
      </w:pPr>
      <w:r>
        <w:t xml:space="preserve">Non-renewable energy used: 0.625 kWh/unit</w:t>
      </w:r>
    </w:p>
    <w:p>
      <w:pPr>
        <w:numPr>
          <w:ilvl w:val="0"/>
          <w:numId w:val="1007"/>
        </w:numPr>
        <w:pStyle w:val="Compact"/>
      </w:pPr>
      <w:r>
        <w:t xml:space="preserve">China Grid Emission Factor: 0.7 kgCO2e/kWh</w:t>
      </w:r>
    </w:p>
    <w:p>
      <w:pPr>
        <w:numPr>
          <w:ilvl w:val="0"/>
          <w:numId w:val="1007"/>
        </w:numPr>
        <w:pStyle w:val="Compact"/>
      </w:pPr>
      <w:r>
        <w:rPr>
          <w:bCs/>
          <w:b/>
        </w:rPr>
        <w:t xml:space="preserve">Calculation:</w:t>
      </w:r>
      <w:r>
        <w:t xml:space="preserve"> </w:t>
      </w:r>
      <w:r>
        <w:t xml:space="preserve">0.625 kWh/unit * 0.7 kgCO2e/kWh = 0.44 kg CO2e</w:t>
      </w:r>
    </w:p>
    <w:p>
      <w:pPr>
        <w:pStyle w:val="FirstParagraph"/>
      </w:pPr>
      <w:r>
        <w:rPr>
          <w:bCs/>
          <w:b/>
        </w:rPr>
        <w:t xml:space="preserve">Total Scope 2 Emissions: 0.44 kg CO2e</w:t>
      </w:r>
    </w:p>
    <w:bookmarkEnd w:id="34"/>
    <w:bookmarkStart w:id="40" w:name="scope-3-emissions-value-chain-emissions"/>
    <w:p>
      <w:pPr>
        <w:pStyle w:val="Heading3"/>
      </w:pPr>
      <w:r>
        <w:t xml:space="preserve">4.3. Scope 3 Emissions (Value Chain Emissions)</w:t>
      </w:r>
    </w:p>
    <w:p>
      <w:pPr>
        <w:pStyle w:val="FirstParagraph"/>
      </w:pPr>
      <w:r>
        <w:t xml:space="preserve">Scope 3 emissions represent the largest portion of the product\'s footprint, covering upstream (materials, inbound transport) and downstream (outbound transport, use phase, end-of-life) activities. This analysis aims for at least 95% coverage as per 2026 requirements by addressing all significant stages.</w:t>
      </w:r>
    </w:p>
    <w:bookmarkStart w:id="35" w:name="X4d76c1fa4b8a3588040ab46c1dc615ff4553b50"/>
    <w:p>
      <w:pPr>
        <w:pStyle w:val="Heading4"/>
      </w:pPr>
      <w:r>
        <w:t xml:space="preserve">4.3.1. Category 1: Upstream Material Acquisition &amp; Processing</w:t>
      </w:r>
    </w:p>
    <w:p>
      <w:pPr>
        <w:pStyle w:val="FirstParagraph"/>
      </w:pPr>
      <w:r>
        <w:t xml:space="preserve">Based on the provided BOM and using the "Total Carbon" values:</w:t>
      </w:r>
    </w:p>
    <w:p>
      <w:pPr>
        <w:numPr>
          <w:ilvl w:val="0"/>
          <w:numId w:val="1008"/>
        </w:numPr>
        <w:pStyle w:val="Compact"/>
      </w:pPr>
      <w:r>
        <w:t xml:space="preserve">Aluminum Casing: 3.75 kg CO2e</w:t>
      </w:r>
    </w:p>
    <w:p>
      <w:pPr>
        <w:numPr>
          <w:ilvl w:val="0"/>
          <w:numId w:val="1008"/>
        </w:numPr>
        <w:pStyle w:val="Compact"/>
      </w:pPr>
      <w:r>
        <w:t xml:space="preserve">Plastic Housing: 0.90 kg CO2e</w:t>
      </w:r>
    </w:p>
    <w:p>
      <w:pPr>
        <w:numPr>
          <w:ilvl w:val="0"/>
          <w:numId w:val="1008"/>
        </w:numPr>
        <w:pStyle w:val="Compact"/>
      </w:pPr>
      <w:r>
        <w:t xml:space="preserve">Circuit Board: 15.00 kg CO2e</w:t>
      </w:r>
    </w:p>
    <w:p>
      <w:pPr>
        <w:pStyle w:val="FirstParagraph"/>
      </w:pPr>
      <w:r>
        <w:rPr>
          <w:bCs/>
          <w:b/>
        </w:rPr>
        <w:t xml:space="preserve">Total Material Impact: 19.65 kg CO2e</w:t>
      </w:r>
    </w:p>
    <w:bookmarkEnd w:id="35"/>
    <w:bookmarkStart w:id="36" w:name="Xc4a58153de3118f8ab2e7aae39f4ab77b50d7fd"/>
    <w:p>
      <w:pPr>
        <w:pStyle w:val="Heading4"/>
      </w:pPr>
      <w:r>
        <w:t xml:space="preserve">4.3.2. Category 4: Upstream Transportation and Distribution (Inbound)</w:t>
      </w:r>
    </w:p>
    <w:p>
      <w:pPr>
        <w:pStyle w:val="FirstParagraph"/>
      </w:pPr>
      <w:r>
        <w:t xml:space="preserve">Inbound transport of raw materials to the manufacturing facility in China.</w:t>
      </w:r>
    </w:p>
    <w:p>
      <w:pPr>
        <w:numPr>
          <w:ilvl w:val="0"/>
          <w:numId w:val="1009"/>
        </w:numPr>
        <w:pStyle w:val="Compact"/>
      </w:pPr>
      <w:r>
        <w:t xml:space="preserve">Product Mass: 1 kg (0.001 tonne)</w:t>
      </w:r>
    </w:p>
    <w:p>
      <w:pPr>
        <w:numPr>
          <w:ilvl w:val="0"/>
          <w:numId w:val="1009"/>
        </w:numPr>
        <w:pStyle w:val="Compact"/>
      </w:pPr>
      <w:r>
        <w:t xml:space="preserve">Distance: 15,000 km (Ocean)</w:t>
      </w:r>
    </w:p>
    <w:p>
      <w:pPr>
        <w:numPr>
          <w:ilvl w:val="0"/>
          <w:numId w:val="1009"/>
        </w:numPr>
        <w:pStyle w:val="Compact"/>
      </w:pPr>
      <w:r>
        <w:t xml:space="preserve">Ocean Freight EF: 0.010 kgCO2e/tonne-km</w:t>
      </w:r>
    </w:p>
    <w:p>
      <w:pPr>
        <w:numPr>
          <w:ilvl w:val="0"/>
          <w:numId w:val="1009"/>
        </w:numPr>
        <w:pStyle w:val="Compact"/>
      </w:pPr>
      <w:r>
        <w:rPr>
          <w:bCs/>
          <w:b/>
        </w:rPr>
        <w:t xml:space="preserve">Calculation:</w:t>
      </w:r>
      <w:r>
        <w:t xml:space="preserve"> </w:t>
      </w:r>
      <w:r>
        <w:t xml:space="preserve">0.001 tonne * 15,000 km * 0.010 kgCO2e/tonne-km = 0.15 kg CO2e</w:t>
      </w:r>
    </w:p>
    <w:p>
      <w:pPr>
        <w:pStyle w:val="FirstParagraph"/>
      </w:pPr>
      <w:r>
        <w:rPr>
          <w:bCs/>
          <w:b/>
        </w:rPr>
        <w:t xml:space="preserve">Total Inbound Transport Emissions: 0.15 kg CO2e</w:t>
      </w:r>
    </w:p>
    <w:bookmarkEnd w:id="36"/>
    <w:bookmarkStart w:id="37" w:name="X9f5c84a488a536f97f52badbb7967bbe710cb5e"/>
    <w:p>
      <w:pPr>
        <w:pStyle w:val="Heading4"/>
      </w:pPr>
      <w:r>
        <w:t xml:space="preserve">4.3.3. Category 9: Downstream Transportation and Distribution (Outbound &amp; Last-Mile)</w:t>
      </w:r>
    </w:p>
    <w:p>
      <w:pPr>
        <w:pStyle w:val="FirstParagraph"/>
      </w:pPr>
      <w:r>
        <w:t xml:space="preserve">Outbound transport from the manufacturing facility to a European distribution hub, and then last-mile delivery to the customer.</w:t>
      </w:r>
    </w:p>
    <w:p>
      <w:pPr>
        <w:numPr>
          <w:ilvl w:val="0"/>
          <w:numId w:val="1010"/>
        </w:numPr>
        <w:pStyle w:val="Compact"/>
      </w:pPr>
      <w:r>
        <w:t xml:space="preserve">Product Mass: 1 kg (0.001 tonne)</w:t>
      </w:r>
    </w:p>
    <w:p>
      <w:pPr>
        <w:numPr>
          <w:ilvl w:val="0"/>
          <w:numId w:val="1010"/>
        </w:numPr>
        <w:pStyle w:val="Compact"/>
      </w:pPr>
      <w:r>
        <w:t xml:space="preserve">Outbound Distance (China to Europe hub): 1,000 km (Road)</w:t>
      </w:r>
    </w:p>
    <w:p>
      <w:pPr>
        <w:numPr>
          <w:ilvl w:val="0"/>
          <w:numId w:val="1010"/>
        </w:numPr>
        <w:pStyle w:val="Compact"/>
      </w:pPr>
      <w:r>
        <w:t xml:space="preserve">Road Freight EF: 0.080 kgCO2e/tonne-km</w:t>
      </w:r>
    </w:p>
    <w:p>
      <w:pPr>
        <w:numPr>
          <w:ilvl w:val="0"/>
          <w:numId w:val="1010"/>
        </w:numPr>
        <w:pStyle w:val="Compact"/>
      </w:pPr>
      <w:r>
        <w:rPr>
          <w:bCs/>
          <w:b/>
        </w:rPr>
        <w:t xml:space="preserve">Calculation (Outbound):</w:t>
      </w:r>
      <w:r>
        <w:t xml:space="preserve"> </w:t>
      </w:r>
      <w:r>
        <w:t xml:space="preserve">0.001 tonne * 1,000 km * 0.080 kgCO2e/tonne-km = 0.08 kg CO2e</w:t>
      </w:r>
    </w:p>
    <w:p>
      <w:pPr>
        <w:numPr>
          <w:ilvl w:val="0"/>
          <w:numId w:val="1011"/>
        </w:numPr>
        <w:pStyle w:val="Compact"/>
      </w:pPr>
      <w:r>
        <w:t xml:space="preserve">Last-Mile Distance: 50 km (Road)</w:t>
      </w:r>
    </w:p>
    <w:p>
      <w:pPr>
        <w:numPr>
          <w:ilvl w:val="0"/>
          <w:numId w:val="1011"/>
        </w:numPr>
        <w:pStyle w:val="Compact"/>
      </w:pPr>
      <w:r>
        <w:t xml:space="preserve">Light Commercial Vehicle EF: 0.200 kgCO2e/tonne-km</w:t>
      </w:r>
    </w:p>
    <w:p>
      <w:pPr>
        <w:numPr>
          <w:ilvl w:val="0"/>
          <w:numId w:val="1011"/>
        </w:numPr>
        <w:pStyle w:val="Compact"/>
      </w:pPr>
      <w:r>
        <w:rPr>
          <w:bCs/>
          <w:b/>
        </w:rPr>
        <w:t xml:space="preserve">Calculation (Last-Mile):</w:t>
      </w:r>
      <w:r>
        <w:t xml:space="preserve"> </w:t>
      </w:r>
      <w:r>
        <w:t xml:space="preserve">0.001 tonne * 50 km * 0.200 kgCO2e/tonne-km = 0.01 kg CO2e</w:t>
      </w:r>
    </w:p>
    <w:p>
      <w:pPr>
        <w:pStyle w:val="FirstParagraph"/>
      </w:pPr>
      <w:r>
        <w:rPr>
          <w:bCs/>
          <w:b/>
        </w:rPr>
        <w:t xml:space="preserve">Total Downstream Transport Emissions: 0.09 kg CO2e</w:t>
      </w:r>
    </w:p>
    <w:bookmarkEnd w:id="37"/>
    <w:bookmarkStart w:id="38" w:name="category-11-use-of-sold-products"/>
    <w:p>
      <w:pPr>
        <w:pStyle w:val="Heading4"/>
      </w:pPr>
      <w:r>
        <w:t xml:space="preserve">4.3.4. Category 11: Use of Sold Products</w:t>
      </w:r>
    </w:p>
    <w:p>
      <w:pPr>
        <w:pStyle w:val="FirstParagraph"/>
      </w:pPr>
      <w:r>
        <w:t xml:space="preserve">Emissions from the electricity consumed by the product during its 7-year lifespan by an average European user.</w:t>
      </w:r>
    </w:p>
    <w:p>
      <w:pPr>
        <w:numPr>
          <w:ilvl w:val="0"/>
          <w:numId w:val="1012"/>
        </w:numPr>
        <w:pStyle w:val="Compact"/>
      </w:pPr>
      <w:r>
        <w:t xml:space="preserve">Total Use Phase Energy: 127.75 kWh</w:t>
      </w:r>
    </w:p>
    <w:p>
      <w:pPr>
        <w:numPr>
          <w:ilvl w:val="0"/>
          <w:numId w:val="1012"/>
        </w:numPr>
        <w:pStyle w:val="Compact"/>
      </w:pPr>
      <w:r>
        <w:t xml:space="preserve">European Grid Emission Factor: 0.25 kgCO2e/kWh</w:t>
      </w:r>
    </w:p>
    <w:p>
      <w:pPr>
        <w:numPr>
          <w:ilvl w:val="0"/>
          <w:numId w:val="1012"/>
        </w:numPr>
        <w:pStyle w:val="Compact"/>
      </w:pPr>
      <w:r>
        <w:rPr>
          <w:bCs/>
          <w:b/>
        </w:rPr>
        <w:t xml:space="preserve">Calculation:</w:t>
      </w:r>
      <w:r>
        <w:t xml:space="preserve"> </w:t>
      </w:r>
      <w:r>
        <w:t xml:space="preserve">127.75 kWh * 0.25 kgCO2e/kWh = 31.94 kg CO2e</w:t>
      </w:r>
    </w:p>
    <w:p>
      <w:pPr>
        <w:pStyle w:val="FirstParagraph"/>
      </w:pPr>
      <w:r>
        <w:rPr>
          <w:bCs/>
          <w:b/>
        </w:rPr>
        <w:t xml:space="preserve">Total Use Phase Emissions: 31.94 kg CO2e</w:t>
      </w:r>
    </w:p>
    <w:bookmarkEnd w:id="38"/>
    <w:bookmarkStart w:id="39" w:name="X9f66eef2700632e081dfe139021cb724ffcd2c5"/>
    <w:p>
      <w:pPr>
        <w:pStyle w:val="Heading4"/>
      </w:pPr>
      <w:r>
        <w:t xml:space="preserve">4.3.5. Category 12: End-of-Life Treatment of Sold Products</w:t>
      </w:r>
    </w:p>
    <w:p>
      <w:pPr>
        <w:pStyle w:val="FirstParagraph"/>
      </w:pPr>
      <w:r>
        <w:t xml:space="preserve">Impacts from recycling and waste treatment. The recyclability percentage and circular programs influence this.</w:t>
      </w:r>
    </w:p>
    <w:p>
      <w:pPr>
        <w:numPr>
          <w:ilvl w:val="0"/>
          <w:numId w:val="1013"/>
        </w:numPr>
        <w:pStyle w:val="Compact"/>
      </w:pPr>
      <w:r>
        <w:t xml:space="preserve">Recyclability Percentage: 60%</w:t>
      </w:r>
    </w:p>
    <w:p>
      <w:pPr>
        <w:numPr>
          <w:ilvl w:val="0"/>
          <w:numId w:val="1013"/>
        </w:numPr>
        <w:pStyle w:val="Compact"/>
      </w:pPr>
      <w:r>
        <w:t xml:space="preserve">Total Material Impact (for potential credit): 19.65 kg CO2e</w:t>
      </w:r>
    </w:p>
    <w:p>
      <w:pPr>
        <w:numPr>
          <w:ilvl w:val="0"/>
          <w:numId w:val="1013"/>
        </w:numPr>
        <w:pStyle w:val="Compact"/>
      </w:pPr>
      <w:r>
        <w:t xml:space="preserve">Assumed recycling benefit factor (e.g., 80% reduction in virgin material impact for recycled content): 0.8</w:t>
      </w:r>
    </w:p>
    <w:p>
      <w:pPr>
        <w:numPr>
          <w:ilvl w:val="0"/>
          <w:numId w:val="1013"/>
        </w:numPr>
        <w:pStyle w:val="Compact"/>
      </w:pPr>
      <w:r>
        <w:rPr>
          <w:bCs/>
          <w:b/>
        </w:rPr>
        <w:t xml:space="preserve">Recycling Credit Calculation:</w:t>
      </w:r>
      <w:r>
        <w:t xml:space="preserve"> </w:t>
      </w:r>
      <w:r>
        <w:t xml:space="preserve">19.65 kg CO2e * 0.60 * 0.8 = -9.43 kg CO2e (negative indicates avoided emissions)</w:t>
      </w:r>
    </w:p>
    <w:p>
      <w:pPr>
        <w:pStyle w:val="FirstParagraph"/>
      </w:pPr>
      <w:r>
        <w:t xml:space="preserve">The comprehensive product take-back and refurbishment program (whljyqpzzz) further enhances circularity, potentially extending product life or enabling higher quality recycling, leading to additional avoided emissions not explicitly quantified here due to lack of specific data, but recognized as a significant benefit.</w:t>
      </w:r>
    </w:p>
    <w:p>
      <w:pPr>
        <w:pStyle w:val="BodyText"/>
      </w:pPr>
      <w:r>
        <w:rPr>
          <w:bCs/>
          <w:b/>
        </w:rPr>
        <w:t xml:space="preserve">Total End-of-Life Emissions: -9.43 kg CO2e</w:t>
      </w:r>
    </w:p>
    <w:bookmarkEnd w:id="39"/>
    <w:bookmarkEnd w:id="40"/>
    <w:bookmarkStart w:id="42" w:name="Xf6fac3ccbedfcb553bf1ab9d001eea498ce30f3"/>
    <w:p>
      <w:pPr>
        <w:pStyle w:val="Heading3"/>
      </w:pPr>
      <w:r>
        <w:t xml:space="preserve">4.4. Summary of Emissions by Scope and Category</w:t>
      </w:r>
    </w:p>
    <w:bookmarkStart w:id="41" w:name="X8c8621dfba1e49213b39ea2e69ebba564e678ee"/>
    <w:p>
      <w:pPr>
        <w:pStyle w:val="Heading4"/>
      </w:pPr>
      <w:r>
        <w:t xml:space="preserve">Table 3: Emissions Summary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(Factory)</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(Factory)</w:t>
            </w:r>
          </w:p>
        </w:tc>
        <w:tc>
          <w:tcPr/>
          <w:p>
            <w:pPr>
              <w:pStyle w:val="Compact"/>
              <w:jc w:val="left"/>
            </w:pPr>
            <w:r>
              <w:t xml:space="preserve">0.44</w:t>
            </w:r>
          </w:p>
        </w:tc>
      </w:tr>
      <w:tr>
        <w:tc>
          <w:tcPr>
            <w:gridSpan w:val="2"/>
          </w:tcPr>
          <w:p>
            <w:pPr>
              <w:pStyle w:val="Compact"/>
              <w:jc w:val="left"/>
            </w:pPr>
            <w:r>
              <w:t xml:space="preserve">Total Scope 1 &amp; 2 Emissions</w:t>
            </w:r>
          </w:p>
        </w:tc>
        <w:tc>
          <w:tcPr/>
          <w:p>
            <w:pPr>
              <w:pStyle w:val="Compact"/>
              <w:jc w:val="left"/>
            </w:pPr>
            <w:r>
              <w:t xml:space="preserve">0.44</w:t>
            </w:r>
          </w:p>
        </w:tc>
      </w:tr>
      <w:tr>
        <w:tc>
          <w:tcPr/>
          <w:p>
            <w:pPr>
              <w:pStyle w:val="Compact"/>
              <w:jc w:val="left"/>
            </w:pPr>
            <w:r>
              <w:t xml:space="preserve">Scope 3 (Upstream)</w:t>
            </w:r>
          </w:p>
        </w:tc>
        <w:tc>
          <w:tcPr/>
          <w:p>
            <w:pPr>
              <w:pStyle w:val="Compact"/>
              <w:jc w:val="left"/>
            </w:pPr>
            <w:r>
              <w:t xml:space="preserve">Materials Acquisition &amp; Processing</w:t>
            </w:r>
          </w:p>
        </w:tc>
        <w:tc>
          <w:tcPr/>
          <w:p>
            <w:pPr>
              <w:pStyle w:val="Compact"/>
              <w:jc w:val="left"/>
            </w:pPr>
            <w:r>
              <w:t xml:space="preserve">19.65</w:t>
            </w:r>
          </w:p>
        </w:tc>
      </w:tr>
      <w:tr>
        <w:tc>
          <w:tcPr/>
          <w:p>
            <w:pPr>
              <w:pStyle w:val="Compact"/>
              <w:jc w:val="left"/>
            </w:pPr>
            <w:r>
              <w:t xml:space="preserve">Scope 3 (Upstream)</w:t>
            </w:r>
          </w:p>
        </w:tc>
        <w:tc>
          <w:tcPr/>
          <w:p>
            <w:pPr>
              <w:pStyle w:val="Compact"/>
              <w:jc w:val="left"/>
            </w:pPr>
            <w:r>
              <w:t xml:space="preserve">Inbound Transportation</w:t>
            </w:r>
          </w:p>
        </w:tc>
        <w:tc>
          <w:tcPr/>
          <w:p>
            <w:pPr>
              <w:pStyle w:val="Compact"/>
              <w:jc w:val="left"/>
            </w:pPr>
            <w:r>
              <w:t xml:space="preserve">0.15</w:t>
            </w:r>
          </w:p>
        </w:tc>
      </w:tr>
      <w:tr>
        <w:tc>
          <w:tcPr/>
          <w:p>
            <w:pPr>
              <w:pStyle w:val="Compact"/>
              <w:jc w:val="left"/>
            </w:pPr>
            <w:r>
              <w:t xml:space="preserve">Scope 3 (Downstream)</w:t>
            </w:r>
          </w:p>
        </w:tc>
        <w:tc>
          <w:tcPr/>
          <w:p>
            <w:pPr>
              <w:pStyle w:val="Compact"/>
              <w:jc w:val="left"/>
            </w:pPr>
            <w:r>
              <w:t xml:space="preserve">Outbound &amp; Last-Mile Transportation</w:t>
            </w:r>
          </w:p>
        </w:tc>
        <w:tc>
          <w:tcPr/>
          <w:p>
            <w:pPr>
              <w:pStyle w:val="Compact"/>
              <w:jc w:val="left"/>
            </w:pPr>
            <w:r>
              <w:t xml:space="preserve">0.09</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31.94</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-9.43</w:t>
            </w:r>
          </w:p>
        </w:tc>
      </w:tr>
      <w:tr>
        <w:tc>
          <w:tcPr>
            <w:gridSpan w:val="2"/>
          </w:tcPr>
          <w:p>
            <w:pPr>
              <w:pStyle w:val="Compact"/>
              <w:jc w:val="left"/>
            </w:pPr>
            <w:r>
              <w:t xml:space="preserve">Total Scope 3 Emissions</w:t>
            </w:r>
          </w:p>
        </w:tc>
        <w:tc>
          <w:tcPr/>
          <w:p>
            <w:pPr>
              <w:pStyle w:val="Compact"/>
              <w:jc w:val="left"/>
            </w:pPr>
            <w:r>
              <w:t xml:space="preserve">42.40</w:t>
            </w:r>
          </w:p>
        </w:tc>
      </w:tr>
      <w:tr>
        <w:tc>
          <w:tcPr>
            <w:gridSpan w:val="2"/>
          </w:tcPr>
          <w:p>
            <w:pPr>
              <w:pStyle w:val="Compact"/>
              <w:jc w:val="left"/>
            </w:pPr>
            <w:r>
              <w:t xml:space="preserve">Grand Total PCF (Cradle-to-Grave)</w:t>
            </w:r>
          </w:p>
        </w:tc>
        <w:tc>
          <w:tcPr/>
          <w:p>
            <w:pPr>
              <w:pStyle w:val="Compact"/>
              <w:jc w:val="left"/>
            </w:pPr>
            <w:r>
              <w:t xml:space="preserve">35.24</w:t>
            </w:r>
          </w:p>
        </w:tc>
      </w:tr>
    </w:tbl>
    <w:p>
      <w:r>
        <w:pict>
          <v:rect style="width:0;height:1.5pt" o:hralign="center" o:hrstd="t" o:hr="t"/>
        </w:pict>
      </w:r>
    </w:p>
    <w:bookmarkEnd w:id="41"/>
    <w:bookmarkEnd w:id="42"/>
    <w:bookmarkEnd w:id="43"/>
    <w:bookmarkStart w:id="46"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primary emission hotspots for the Smart Gadget Pro are:</w:t>
      </w:r>
    </w:p>
    <w:p>
      <w:pPr>
        <w:numPr>
          <w:ilvl w:val="0"/>
          <w:numId w:val="1014"/>
        </w:numPr>
        <w:pStyle w:val="Compact"/>
      </w:pPr>
      <w:r>
        <w:rPr>
          <w:bCs/>
          <w:b/>
        </w:rPr>
        <w:t xml:space="preserve">Use Phase (31.94 kg CO2e):</w:t>
      </w:r>
      <w:r>
        <w:t xml:space="preserve"> </w:t>
      </w:r>
      <w:r>
        <w:t xml:space="preserve">This is the most significant contributor, primarily due to the electricity consumption over the product\'s 7-year lifespan. This highlights the importance of improving energy efficiency during product design.</w:t>
      </w:r>
    </w:p>
    <w:p>
      <w:pPr>
        <w:numPr>
          <w:ilvl w:val="0"/>
          <w:numId w:val="1014"/>
        </w:numPr>
        <w:pStyle w:val="Compact"/>
      </w:pPr>
      <w:r>
        <w:rPr>
          <w:bCs/>
          <w:b/>
        </w:rPr>
        <w:t xml:space="preserve">Materials Acquisition &amp; Processing (19.65 kg CO2e):</w:t>
      </w:r>
      <w:r>
        <w:t xml:space="preserve"> </w:t>
      </w:r>
      <w:r>
        <w:t xml:space="preserve">The components, especially the circuit board and aluminum casing, have a substantial upstream footprint. Material selection, lightweighting, and incorporating recycled content are crucial for reduction.</w:t>
      </w:r>
    </w:p>
    <w:p>
      <w:pPr>
        <w:numPr>
          <w:ilvl w:val="0"/>
          <w:numId w:val="1014"/>
        </w:numPr>
        <w:pStyle w:val="Compact"/>
      </w:pPr>
      <w:r>
        <w:rPr>
          <w:bCs/>
          <w:b/>
        </w:rPr>
        <w:t xml:space="preserve">Outbound Logistics (0.09 kg CO2e) &amp; Inbound Logistics (0.15 kg CO2e):</w:t>
      </w:r>
      <w:r>
        <w:t xml:space="preserve"> </w:t>
      </w:r>
      <w:r>
        <w:t xml:space="preserve">While less dominant than the use phase and materials, these remain relevant. Optimizing transport modes, routes, and maximizing load efficiency can lead to reductions.</w:t>
      </w:r>
    </w:p>
    <w:p>
      <w:pPr>
        <w:numPr>
          <w:ilvl w:val="0"/>
          <w:numId w:val="1014"/>
        </w:numPr>
        <w:pStyle w:val="Compact"/>
      </w:pPr>
      <w:r>
        <w:rPr>
          <w:bCs/>
          <w:b/>
        </w:rPr>
        <w:t xml:space="preserve">End-of-Life (-9.43 kg CO2e):</w:t>
      </w:r>
      <w:r>
        <w:t xml:space="preserve"> </w:t>
      </w:r>
      <w:r>
        <w:t xml:space="preserve">The recycling efforts provide a significant credit, avoiding emissions by displacing virgin material production. Enhancing recyclability and expanding circular programs can further improve this.</w:t>
      </w:r>
    </w:p>
    <w:bookmarkEnd w:id="44"/>
    <w:bookmarkStart w:id="45" w:name="reliability-limitations"/>
    <w:p>
      <w:pPr>
        <w:pStyle w:val="Heading3"/>
      </w:pPr>
      <w:r>
        <w:t xml:space="preserve">5.2. Reliability &amp; Limitations</w:t>
      </w:r>
    </w:p>
    <w:p>
      <w:pPr>
        <w:pStyle w:val="FirstParagraph"/>
      </w:pPr>
      <w:r>
        <w:t xml:space="preserve">This report provides a high-detail PCF analysis based on the GHG Protocol. The reliability is influenced by the quality of input data:</w:t>
      </w:r>
    </w:p>
    <w:p>
      <w:pPr>
        <w:numPr>
          <w:ilvl w:val="0"/>
          <w:numId w:val="1015"/>
        </w:numPr>
        <w:pStyle w:val="Compact"/>
      </w:pPr>
      <w:r>
        <w:rPr>
          <w:bCs/>
          <w:b/>
        </w:rPr>
        <w:t xml:space="preserve">Primary Data:</w:t>
      </w:r>
      <w:r>
        <w:t xml:space="preserve"> </w:t>
      </w:r>
      <w:r>
        <w:t xml:space="preserve">The provided Detailed Bill of Materials (`smxxvxve`) and company-specific energy usage (`khhznhgdvh`, `hrzvstmusu`) enhance accuracy for those parameters.</w:t>
      </w:r>
    </w:p>
    <w:p>
      <w:pPr>
        <w:numPr>
          <w:ilvl w:val="0"/>
          <w:numId w:val="1015"/>
        </w:numPr>
        <w:pStyle w:val="Compact"/>
      </w:pPr>
      <w:r>
        <w:rPr>
          <w:bCs/>
          <w:b/>
        </w:rPr>
        <w:t xml:space="preserve">Illustrative Data:</w:t>
      </w:r>
      <w:r>
        <w:t xml:space="preserve"> </w:t>
      </w:r>
      <w:r>
        <w:t xml:space="preserve">For placeholder parameters (e.g., `Select Mode`, `lpnlepggnv`, `Delivery Type`, `iegvkpmuor`, `rjwjqqgrzi`, `tktlqwxpuv`, `whljyqpzzz`), representative industry average values have been assumed to enable calculation. Actual data for these specific inputs would improve precision.</w:t>
      </w:r>
    </w:p>
    <w:p>
      <w:pPr>
        <w:numPr>
          <w:ilvl w:val="0"/>
          <w:numId w:val="1015"/>
        </w:numPr>
        <w:pStyle w:val="Compact"/>
      </w:pPr>
      <w:r>
        <w:rPr>
          <w:bCs/>
          <w:b/>
        </w:rPr>
        <w:t xml:space="preserve">Emission Factors:</w:t>
      </w:r>
      <w:r>
        <w:t xml:space="preserve"> </w:t>
      </w:r>
      <w:r>
        <w:t xml:space="preserve">Generic, but commonly accepted, industry-average emission factors (similar to Ecoinvent/DEFRA) have been used. Country-specific and process-specific factors where available would refine results.</w:t>
      </w:r>
    </w:p>
    <w:p>
      <w:pPr>
        <w:numPr>
          <w:ilvl w:val="0"/>
          <w:numId w:val="1015"/>
        </w:numPr>
        <w:pStyle w:val="Compact"/>
      </w:pPr>
      <w:r>
        <w:rPr>
          <w:bCs/>
          <w:b/>
        </w:rPr>
        <w:t xml:space="preserve">System Boundary:</w:t>
      </w:r>
      <w:r>
        <w:t xml:space="preserve"> </w:t>
      </w:r>
      <w:r>
        <w:t xml:space="preserve">While a cradle-to-grave approach was adopted to fulfill Scope 3 requirements, further granular data on specific manufacturing processes beyond electricity consumption could be integrated.</w:t>
      </w:r>
    </w:p>
    <w:p>
      <w:pPr>
        <w:numPr>
          <w:ilvl w:val="0"/>
          <w:numId w:val="1015"/>
        </w:numPr>
        <w:pStyle w:val="Compact"/>
      </w:pPr>
      <w:r>
        <w:rPr>
          <w:bCs/>
          <w:b/>
        </w:rPr>
        <w:t xml:space="preserve">LSR Standard:</w:t>
      </w:r>
      <w:r>
        <w:t xml:space="preserve"> </w:t>
      </w:r>
      <w:r>
        <w:t xml:space="preserve">The 2026 Land Sector and Removals (LSR) Standard was acknowledged, but detailed quantification of land-use change emissions or removals specific to the product\'s raw materials was beyond the scope of provided data and would require further investigation, particularly for any bio-based components.</w:t>
      </w:r>
    </w:p>
    <w:p>
      <w:pPr>
        <w:pStyle w:val="FirstParagraph"/>
      </w:pPr>
      <w:r>
        <w:t xml:space="preserve">Innovate Corp. (wxihkwdknz) is encouraged to collect more specific primary data for all lifecycle stages to further increase the accuracy and actionable insights from future PCF analyses.</w:t>
      </w:r>
    </w:p>
    <w:p>
      <w:r>
        <w:pict>
          <v:rect style="width:0;height:1.5pt" o:hralign="center" o:hrstd="t" o:hr="t"/>
        </w:pict>
      </w:r>
    </w:p>
    <w:bookmarkEnd w:id="45"/>
    <w:bookmarkEnd w:id="46"/>
    <w:bookmarkStart w:id="47" w:name="X788fbff7c021e2a678ac07c45b3966641b0fc80"/>
    <w:p>
      <w:pPr>
        <w:pStyle w:val="Heading2"/>
      </w:pPr>
      <w:r>
        <w:t xml:space="preserve">6. Recommendations for Carbon Footprint Reduction</w:t>
      </w:r>
    </w:p>
    <w:p>
      <w:pPr>
        <w:numPr>
          <w:ilvl w:val="0"/>
          <w:numId w:val="1016"/>
        </w:numPr>
        <w:pStyle w:val="Compact"/>
      </w:pPr>
      <w:r>
        <w:rPr>
          <w:bCs/>
          <w:b/>
        </w:rPr>
        <w:t xml:space="preserve">Energy Efficiency in Use Phase:</w:t>
      </w:r>
      <w:r>
        <w:t xml:space="preserve"> </w:t>
      </w:r>
      <w:r>
        <w:t xml:space="preserve">Invest in R&amp;D to significantly reduce the operational energy consumption of the Smart Gadget Pro. Explore low-power components and intelligent energy management features.</w:t>
      </w:r>
    </w:p>
    <w:p>
      <w:pPr>
        <w:numPr>
          <w:ilvl w:val="0"/>
          <w:numId w:val="1016"/>
        </w:numPr>
        <w:pStyle w:val="Compact"/>
      </w:pPr>
      <w:r>
        <w:rPr>
          <w:bCs/>
          <w:b/>
        </w:rPr>
        <w:t xml:space="preserve">Material Optimization:</w:t>
      </w:r>
      <w:r>
        <w:t xml:space="preserve"> </w:t>
      </w:r>
      <w:r>
        <w:t xml:space="preserve">Investigate alternative materials with lower inherent carbon footprints. Prioritize materials with higher recycled content and ensure traceability of supply chains for critical components like the circuit board.</w:t>
      </w:r>
    </w:p>
    <w:p>
      <w:pPr>
        <w:numPr>
          <w:ilvl w:val="0"/>
          <w:numId w:val="1016"/>
        </w:numPr>
        <w:pStyle w:val="Compact"/>
      </w:pPr>
      <w:r>
        <w:rPr>
          <w:bCs/>
          <w:b/>
        </w:rPr>
        <w:t xml:space="preserve">Renewable Energy Procurement:</w:t>
      </w:r>
      <w:r>
        <w:t xml:space="preserve"> </w:t>
      </w:r>
      <w:r>
        <w:t xml:space="preserve">Continuously increase the share of renewable energy at manufacturing facilities beyond the current 75% to further reduce Scope 2 emissions.</w:t>
      </w:r>
    </w:p>
    <w:p>
      <w:pPr>
        <w:numPr>
          <w:ilvl w:val="0"/>
          <w:numId w:val="1016"/>
        </w:numPr>
        <w:pStyle w:val="Compact"/>
      </w:pPr>
      <w:r>
        <w:rPr>
          <w:bCs/>
          <w:b/>
        </w:rPr>
        <w:t xml:space="preserve">Logistics Optimization:</w:t>
      </w:r>
      <w:r>
        <w:t xml:space="preserve"> </w:t>
      </w:r>
      <w:r>
        <w:t xml:space="preserve">Work with logistics partners to optimize routes, maximize container/vehicle utilization, and explore lower-emission transport modes (e.g., rail for longer distances within Europe where feasible).</w:t>
      </w:r>
    </w:p>
    <w:p>
      <w:pPr>
        <w:numPr>
          <w:ilvl w:val="0"/>
          <w:numId w:val="1016"/>
        </w:numPr>
        <w:pStyle w:val="Compact"/>
      </w:pPr>
      <w:r>
        <w:rPr>
          <w:bCs/>
          <w:b/>
        </w:rPr>
        <w:t xml:space="preserve">Enhance Circularity:</w:t>
      </w:r>
      <w:r>
        <w:t xml:space="preserve"> </w:t>
      </w:r>
      <w:r>
        <w:t xml:space="preserve">Promote and expand the existing take-back and refurbishment programs. Design products for easier disassembly, repair, and higher-value recycling to maximize end-of-life benefits and achieve greater recycling credits.</w:t>
      </w:r>
    </w:p>
    <w:p>
      <w:r>
        <w:pict>
          <v:rect style="width:0;height:1.5pt" o:hralign="center" o:hrstd="t" o:hr="t"/>
        </w:pict>
      </w:r>
    </w:p>
    <w:p>
      <w:pPr>
        <w:pStyle w:val="FirstParagraph"/>
      </w:pPr>
      <w:r>
        <w:t xml:space="preserve">Confidential - Internal Use Only |</w:t>
      </w:r>
      <w:r>
        <w:t xml:space="preserve"> </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Gadget Pro</dc:title>
  <dc:creator/>
  <dc:description>Detailed Product Carbon Footprint (PCF) analysis report for Smart Gadget Pro by Innovate Corp., following GHG Protocol standards and 2026 LSR update.</dc:description>
  <cp:keywords/>
  <dcterms:created xsi:type="dcterms:W3CDTF">2026-07-15T06:43:14Z</dcterms:created>
  <dcterms:modified xsi:type="dcterms:W3CDTF">2026-07-15T06:43:14Z</dcterms:modified>
</cp:coreProperties>
</file>

<file path=docProps/custom.xml><?xml version="1.0" encoding="utf-8"?>
<Properties xmlns="http://schemas.openxmlformats.org/officeDocument/2006/custom-properties" xmlns:vt="http://schemas.openxmlformats.org/officeDocument/2006/docPropsVTypes"/>
</file>