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sjszexwvvt</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sjszexwvvt</w:t>
      </w:r>
    </w:p>
    <w:p>
      <w:pPr>
        <w:pStyle w:val="BodyText"/>
      </w:pPr>
      <w:r>
        <w:rPr>
          <w:bCs/>
          <w:b/>
        </w:rPr>
        <w:t xml:space="preserve">Company Name:</w:t>
      </w:r>
      <w:r>
        <w:t xml:space="preserve"> </w:t>
      </w:r>
      <w:r>
        <w:t xml:space="preserve">rdpyeneior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piiyddnknp</w:t>
      </w:r>
    </w:p>
    <w:p>
      <w:pPr>
        <w:pStyle w:val="BodyText"/>
      </w:pPr>
      <w:r>
        <w:t xml:space="preserve">This report is generated based on available data and industry standards, providing an estimate of the product\'s carbon footprint.</w:t>
      </w:r>
    </w:p>
    <w:bookmarkEnd w:id="20"/>
    <w:bookmarkStart w:id="21" w:name="X3b4c909c60ec41001e321048a26cdda1af72999"/>
    <w:p>
      <w:pPr>
        <w:pStyle w:val="Heading1"/>
      </w:pPr>
      <w:r>
        <w:t xml:space="preserve">Product Carbon Footprint Analysis for sjszexwvvt</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\'sjszexwvvt\' manufactured by \'rdpyeneior\', conducted by \'piiyddnknp\', Senior Sustainability Consultant. The analysis adheres strictly to the GHG Protocol accounting standard, incorporating the 2026 Land Sector and Removals (LSR) Standard and aiming for at least 95% Scope 3 coverage. The study covers the lifecycle from raw material extraction to end-of-life (cradle-to-grave with factory_gate boundary for the primary production phase) to identify major emission hotspots and provide a comprehensive understanding of the product\'s environmental impact. This analysis leverages specific bill of materials, logistics, energy, use phase, and end-of-life data to ensure high accuracy.</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\'sjszexwvvt\' has been calculated following a cradle-to-grave approach, with detailed data inputs for each lifecycle stage. The methodology strictly adheres to the GHG Protocol Product Standard, ensuring transparency and comparability.</w:t>
      </w:r>
    </w:p>
    <w:bookmarkStart w:id="23"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sjszexwvvt</w:t>
      </w:r>
      <w:r>
        <w:t xml:space="preserve">. This unit serves as the reference basis for quantifying all relevant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for the primary production, and extends to include upstream material acquisition, manufacturing, transport, downstream use phase, and end-of-life stages. This approach allows for a comprehensive assessment of emissions associated with the product, from raw material extraction to disposal or recycling, considering the full value chain.</w:t>
      </w:r>
    </w:p>
    <w:bookmarkEnd w:id="24"/>
    <w:bookmarkStart w:id="25"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with a specific focus on a</w:t>
      </w:r>
      <w:r>
        <w:t xml:space="preserve"> </w:t>
      </w:r>
      <w:r>
        <w:rPr>
          <w:bCs/>
          <w:b/>
        </w:rPr>
        <w:t xml:space="preserve">Europe Focused Supply Chain</w:t>
      </w:r>
      <w:r>
        <w:t xml:space="preserve"> </w:t>
      </w:r>
      <w:r>
        <w:t xml:space="preserve">for upstream materials and downstream distribution. This geographic consideration is critical for selecting appropriate regional emission factors for energy grids, transportation, and material production.</w:t>
      </w:r>
    </w:p>
    <w:bookmarkEnd w:id="25"/>
    <w:bookmarkStart w:id="26"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All emissions are categorized into Scope 1, Scope 2, and Scope 3 as defined by the GHG Protocol Corporate Standard, applied to the product level. Furthermore, the</w:t>
      </w:r>
      <w:r>
        <w:t xml:space="preserve"> </w:t>
      </w:r>
      <w:r>
        <w:rPr>
          <w:bCs/>
          <w:b/>
        </w:rPr>
        <w:t xml:space="preserve">2026 Land Sector and Removals (LSR) Standard</w:t>
      </w:r>
      <w:r>
        <w:t xml:space="preserve"> </w:t>
      </w:r>
      <w:r>
        <w:t xml:space="preserve">has been applied to account for land use emissions and carbon removals, where applicable, providing a more holistic view of biogenic carbon flows.</w:t>
      </w:r>
    </w:p>
    <w:bookmarkEnd w:id="26"/>
    <w:bookmarkStart w:id="27" w:name="allocation-approach"/>
    <w:p>
      <w:pPr>
        <w:pStyle w:val="Heading3"/>
      </w:pPr>
      <w:r>
        <w:t xml:space="preserve">Allocation Approach</w:t>
      </w:r>
    </w:p>
    <w:p>
      <w:pPr>
        <w:pStyle w:val="FirstParagraph"/>
      </w:pPr>
      <w:r>
        <w:t xml:space="preserve">Economic allocation has been applied where co-products or by-products are present in the supply chain, ensuring that environmental burdens are fairly distributed based on their economic value. For recycling scenarios, the "closed-loop" approach is favored where materials maintain their inherent properties, attributing burdens and benefits appropriately.</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specific data inputs collected and mapped across the product\'s lifecycle, providing the foundation for emission calculations. Primary data has been utilized where available, complemented by robust secondary data from industry-standard databases (e.g., Ecoinvent, DEFRA) for generic processes and emission factors.</w:t>
      </w:r>
    </w:p>
    <w:bookmarkStart w:id="29" w:name="detailed-bill-of-materials-bom-analysis"/>
    <w:p>
      <w:pPr>
        <w:pStyle w:val="Heading3"/>
      </w:pPr>
      <w:r>
        <w:t xml:space="preserve">Detailed Bill of Materials (BOM) Analysis</w:t>
      </w:r>
    </w:p>
    <w:p>
      <w:pPr>
        <w:pStyle w:val="FirstParagraph"/>
      </w:pPr>
      <w:r>
        <w:t xml:space="preserve">The following table presents the high-accuracy material impact calculation based on the provided Bill of Materials for \'sjszexwvvt\'. The \'Emission Factor\' values are representative of industry standards for the specified processes and materials.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0.02</w:t>
            </w:r>
          </w:p>
        </w:tc>
        <w:tc>
          <w:tcPr/>
          <w:p>
            <w:pPr>
              <w:pStyle w:val="Compact"/>
              <w:jc w:val="left"/>
            </w:pPr>
            <w:r>
              <w:t xml:space="preserve">0.8</w:t>
            </w:r>
          </w:p>
        </w:tc>
        <w:tc>
          <w:tcPr/>
          <w:p>
            <w:pPr>
              <w:pStyle w:val="Compact"/>
              <w:jc w:val="left"/>
            </w:pPr>
            <w:r>
              <w:t xml:space="preserve">0.016</w:t>
            </w:r>
          </w:p>
        </w:tc>
      </w:tr>
      <w:tr>
        <w:tc>
          <w:tcPr>
            <w:gridSpan w:val="6"/>
          </w:tcPr>
          <w:p>
            <w:pPr>
              <w:pStyle w:val="Compact"/>
              <w:jc w:val="right"/>
            </w:pPr>
            <w:r>
              <w:rPr>
                <w:bCs/>
                <w:b/>
              </w:rPr>
              <w:t xml:space="preserve">Subtotal Material Emissions (Upstream)</w:t>
            </w:r>
          </w:p>
        </w:tc>
        <w:tc>
          <w:tcPr/>
          <w:p>
            <w:pPr>
              <w:pStyle w:val="Compact"/>
              <w:jc w:val="left"/>
            </w:pPr>
            <w:r>
              <w:rPr>
                <w:bCs/>
                <w:b/>
              </w:rPr>
              <w:t xml:space="preserve">8.066</w:t>
            </w:r>
          </w:p>
        </w:tc>
      </w:tr>
    </w:tbl>
    <w:bookmarkEnd w:id="29"/>
    <w:bookmarkStart w:id="30" w:name="logistics-data"/>
    <w:p>
      <w:pPr>
        <w:pStyle w:val="Heading3"/>
      </w:pPr>
      <w:r>
        <w:t xml:space="preserve">Logistics Data</w:t>
      </w:r>
    </w:p>
    <w:p>
      <w:pPr>
        <w:pStyle w:val="FirstParagraph"/>
      </w:pPr>
      <w:r>
        <w:t xml:space="preserve">Transportation plays a significant role in the overall carbon footprint, especially with a Europe-focused supply chain originating from China. The following specific logistics data has been incorporated: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Transport Mode (Main)</w:t>
            </w:r>
          </w:p>
        </w:tc>
        <w:tc>
          <w:tcPr/>
          <w:p>
            <w:pPr>
              <w:pStyle w:val="Compact"/>
              <w:jc w:val="left"/>
            </w:pPr>
            <w:r>
              <w:t xml:space="preserve">Ocean Freight (Container Ship)</w:t>
            </w:r>
          </w:p>
        </w:tc>
      </w:tr>
      <w:tr>
        <w:tc>
          <w:tcPr/>
          <w:p>
            <w:pPr>
              <w:pStyle w:val="Compact"/>
              <w:jc w:val="left"/>
            </w:pPr>
            <w:r>
              <w:t xml:space="preserve">Transport Distance (Main)</w:t>
            </w:r>
          </w:p>
        </w:tc>
        <w:tc>
          <w:tcPr/>
          <w:p>
            <w:pPr>
              <w:pStyle w:val="Compact"/>
              <w:jc w:val="left"/>
            </w:pPr>
            <w:r>
              <w:t xml:space="preserve">10000 km</w:t>
            </w:r>
          </w:p>
        </w:tc>
      </w:tr>
      <w:tr>
        <w:tc>
          <w:tcPr/>
          <w:p>
            <w:pPr>
              <w:pStyle w:val="Compact"/>
              <w:jc w:val="left"/>
            </w:pPr>
            <w:r>
              <w:t xml:space="preserve">Last-Mile Delivery Channel</w:t>
            </w:r>
          </w:p>
        </w:tc>
        <w:tc>
          <w:tcPr/>
          <w:p>
            <w:pPr>
              <w:pStyle w:val="Compact"/>
              <w:jc w:val="left"/>
            </w:pPr>
            <w:r>
              <w:t xml:space="preserve">Parcel Delivery Van</w:t>
            </w:r>
          </w:p>
        </w:tc>
      </w:tr>
    </w:tbl>
    <w:p>
      <w:pPr>
        <w:pStyle w:val="BodyText"/>
      </w:pPr>
      <w:r>
        <w:rPr>
          <w:iCs/>
          <w:i/>
        </w:rPr>
        <w:t xml:space="preserve">Illustrative Emission Factors Used:</w:t>
      </w:r>
    </w:p>
    <w:p>
      <w:pPr>
        <w:numPr>
          <w:ilvl w:val="0"/>
          <w:numId w:val="1001"/>
        </w:numPr>
        <w:pStyle w:val="Compact"/>
      </w:pPr>
      <w:r>
        <w:t xml:space="preserve">Ocean Freight (Container Ship): ~0.01 kg CO2e/tonne-km</w:t>
      </w:r>
    </w:p>
    <w:p>
      <w:pPr>
        <w:numPr>
          <w:ilvl w:val="0"/>
          <w:numId w:val="1001"/>
        </w:numPr>
        <w:pStyle w:val="Compact"/>
      </w:pPr>
      <w:r>
        <w:t xml:space="preserve">Parcel Delivery Van: ~0.5 kg CO2e/tonne-km (assuming typical light commercial vehicle)</w:t>
      </w:r>
    </w:p>
    <w:bookmarkEnd w:id="30"/>
    <w:bookmarkStart w:id="31" w:name="production-energy-data"/>
    <w:p>
      <w:pPr>
        <w:pStyle w:val="Heading3"/>
      </w:pPr>
      <w:r>
        <w:t xml:space="preserve">Production Energy Data</w:t>
      </w:r>
    </w:p>
    <w:p>
      <w:pPr>
        <w:pStyle w:val="FirstParagraph"/>
      </w:pPr>
      <w:r>
        <w:t xml:space="preserve">The energy consumed during the manufacturing of \'sjszexwvvt\' at the final production facility in China is a key contributor to the footprint. The following customized energy data has been used: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Renewable Energy Usage (at facility)</w:t>
            </w:r>
          </w:p>
        </w:tc>
        <w:tc>
          <w:tcPr/>
          <w:p>
            <w:pPr>
              <w:pStyle w:val="Compact"/>
              <w:jc w:val="left"/>
            </w:pPr>
            <w:r>
              <w:t xml:space="preserve">40%</w:t>
            </w:r>
          </w:p>
        </w:tc>
      </w:tr>
      <w:tr>
        <w:tc>
          <w:tcPr/>
          <w:p>
            <w:pPr>
              <w:pStyle w:val="Compact"/>
              <w:jc w:val="left"/>
            </w:pPr>
            <w:r>
              <w:t xml:space="preserve">Energy Intensity (kWh/unit)</w:t>
            </w:r>
          </w:p>
        </w:tc>
        <w:tc>
          <w:tcPr/>
          <w:p>
            <w:pPr>
              <w:pStyle w:val="Compact"/>
              <w:jc w:val="left"/>
            </w:pPr>
            <w:r>
              <w:t xml:space="preserve">5.0 kWh/unit</w:t>
            </w:r>
          </w:p>
        </w:tc>
      </w:tr>
    </w:tbl>
    <w:p>
      <w:pPr>
        <w:pStyle w:val="BodyText"/>
      </w:pPr>
      <w:r>
        <w:rPr>
          <w:iCs/>
          <w:i/>
        </w:rPr>
        <w:t xml:space="preserve">Illustrative Emission Factors Used:</w:t>
      </w:r>
    </w:p>
    <w:p>
      <w:pPr>
        <w:numPr>
          <w:ilvl w:val="0"/>
          <w:numId w:val="1002"/>
        </w:numPr>
        <w:pStyle w:val="Compact"/>
      </w:pPr>
      <w:r>
        <w:t xml:space="preserve">China Grid Electricity Emission Factor: ~0.6 kg CO2e/kWh</w:t>
      </w:r>
    </w:p>
    <w:bookmarkEnd w:id="31"/>
    <w:bookmarkStart w:id="32" w:name="use-phase-data"/>
    <w:p>
      <w:pPr>
        <w:pStyle w:val="Heading3"/>
      </w:pPr>
      <w:r>
        <w:t xml:space="preserve">Use Phase Data</w:t>
      </w:r>
    </w:p>
    <w:p>
      <w:pPr>
        <w:pStyle w:val="FirstParagraph"/>
      </w:pPr>
      <w:r>
        <w:t xml:space="preserve">The energy consumption during the product\'s operational life is crucial for a comprehensive PCF. The following specific data has been applied: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Product Lifespan</w:t>
            </w:r>
          </w:p>
        </w:tc>
        <w:tc>
          <w:tcPr/>
          <w:p>
            <w:pPr>
              <w:pStyle w:val="Compact"/>
              <w:jc w:val="left"/>
            </w:pPr>
            <w:r>
              <w:t xml:space="preserve">5 years</w:t>
            </w:r>
          </w:p>
        </w:tc>
      </w:tr>
      <w:tr>
        <w:tc>
          <w:tcPr/>
          <w:p>
            <w:pPr>
              <w:pStyle w:val="Compact"/>
              <w:jc w:val="left"/>
            </w:pPr>
            <w:r>
              <w:t xml:space="preserve">Energy Consumption in Use</w:t>
            </w:r>
          </w:p>
        </w:tc>
        <w:tc>
          <w:tcPr/>
          <w:p>
            <w:pPr>
              <w:pStyle w:val="Compact"/>
              <w:jc w:val="left"/>
            </w:pPr>
            <w:r>
              <w:t xml:space="preserve">10 kWh/year</w:t>
            </w:r>
          </w:p>
        </w:tc>
      </w:tr>
    </w:tbl>
    <w:p>
      <w:pPr>
        <w:pStyle w:val="BodyText"/>
      </w:pPr>
      <w:r>
        <w:rPr>
          <w:iCs/>
          <w:i/>
        </w:rPr>
        <w:t xml:space="preserve">Illustrative Emission Factors Used:</w:t>
      </w:r>
    </w:p>
    <w:p>
      <w:pPr>
        <w:numPr>
          <w:ilvl w:val="0"/>
          <w:numId w:val="1003"/>
        </w:numPr>
        <w:pStyle w:val="Compact"/>
      </w:pPr>
      <w:r>
        <w:t xml:space="preserve">European Grid Electricity Emission Factor (average): ~0.25 kg CO2e/kWh</w:t>
      </w:r>
    </w:p>
    <w:bookmarkEnd w:id="32"/>
    <w:bookmarkStart w:id="33" w:name="end-of-life-eol-data"/>
    <w:p>
      <w:pPr>
        <w:pStyle w:val="Heading3"/>
      </w:pPr>
      <w:r>
        <w:t xml:space="preserve">End-of-Life (EoL) Data</w:t>
      </w:r>
    </w:p>
    <w:p>
      <w:pPr>
        <w:pStyle w:val="FirstParagraph"/>
      </w:pPr>
      <w:r>
        <w:t xml:space="preserve">End-of-Life scenarios significantly impact the overall footprint, reflecting circular economy efforts. The following data has been incorporated: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Recyclability Percentage</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Yes, Product Take-back Program</w:t>
            </w:r>
          </w:p>
        </w:tc>
      </w:tr>
    </w:tbl>
    <w:p>
      <w:pPr>
        <w:pStyle w:val="BodyText"/>
      </w:pPr>
      <w:r>
        <w:rPr>
          <w:iCs/>
          <w:i/>
        </w:rPr>
        <w:t xml:space="preserve">Illustrative Emission Factors Used:</w:t>
      </w:r>
    </w:p>
    <w:p>
      <w:pPr>
        <w:numPr>
          <w:ilvl w:val="0"/>
          <w:numId w:val="1004"/>
        </w:numPr>
        <w:pStyle w:val="Compact"/>
      </w:pPr>
      <w:r>
        <w:t xml:space="preserve">Recycling benefits are calculated based on avoided primary material production.</w:t>
      </w:r>
    </w:p>
    <w:p>
      <w:pPr>
        <w:numPr>
          <w:ilvl w:val="0"/>
          <w:numId w:val="1004"/>
        </w:numPr>
        <w:pStyle w:val="Compact"/>
      </w:pPr>
      <w:r>
        <w:t xml:space="preserve">Disposal to landfill/incineration is accounted for remaining percentage with appropriate EFs.</w:t>
      </w:r>
    </w:p>
    <w:p>
      <w:r>
        <w:pict>
          <v:rect style="width:0;height:1.5pt" o:hralign="center" o:hrstd="t" o:hr="t"/>
        </w:pict>
      </w:r>
    </w:p>
    <w:bookmarkEnd w:id="33"/>
    <w:bookmarkEnd w:id="34"/>
    <w:bookmarkStart w:id="44"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kg of material, kWh of energy, km of transport) by corresponding emission factors (e.g., kg CO2e/kg, kg CO2e/kWh, kg CO2e/km). All emissions are reported in kilograms of carbon dioxide equivalent (kg CO2e).</w:t>
      </w:r>
    </w:p>
    <w:bookmarkStart w:id="35" w:name="scope-1-emissions-direct-emissions"/>
    <w:p>
      <w:pPr>
        <w:pStyle w:val="Heading3"/>
      </w:pPr>
      <w:r>
        <w:t xml:space="preserve">Scope 1 Emissions (Direct Emissions)</w:t>
      </w:r>
    </w:p>
    <w:p>
      <w:pPr>
        <w:pStyle w:val="FirstParagraph"/>
      </w:pPr>
      <w:r>
        <w:t xml:space="preserve">For a product-level analysis with a "factory_gate" boundary focused on the product\'s embedded emissions, direct (Scope 1) emissions from the reporting company\'s own facilities are typically considered minimal or integrated into upstream Scope 3 emissions if the manufacturing facility is not directly owned or operated by \'rdpyeneior\'. Assuming \'rdpyeneior\' is primarily a brand or assembler, and the manufacturing is outsourced, direct operational emissions from the immediate product manufacturing process are embedded in the energy and material production, thus falling under Scope 3 for \'rdpyeneior\'. If \'rdpyeneior\' directly owned and operated the production facility and burned fossil fuels on-site, those would be Scope 1. For this specific product PCF, direct emissions attributable solely to the "sjszexwvvt" production, independent of electricity (Scope 2) or material production (Scope 3), are assumed to be negligible or covered by upstream Scope 3 categories.</w:t>
      </w:r>
    </w:p>
    <w:p>
      <w:pPr>
        <w:pStyle w:val="BodyText"/>
      </w:pPr>
      <w:r>
        <w:rPr>
          <w:bCs/>
          <w:b/>
        </w:rPr>
        <w:t xml:space="preserve">Total Scope 1 Emissions: 0.00 kg CO2e</w:t>
      </w:r>
      <w:r>
        <w:t xml:space="preserve"> </w:t>
      </w:r>
      <w:r>
        <w:t xml:space="preserve">(Assumed negligible for product-focused analysis without direct on-site fuel combustion data).</w:t>
      </w:r>
    </w:p>
    <w:bookmarkEnd w:id="35"/>
    <w:bookmarkStart w:id="36" w:name="scope-2-emissions-purchased-energy"/>
    <w:p>
      <w:pPr>
        <w:pStyle w:val="Heading3"/>
      </w:pPr>
      <w:r>
        <w:t xml:space="preserve">Scope 2 Emissions (Purchased Energy)</w:t>
      </w:r>
    </w:p>
    <w:p>
      <w:pPr>
        <w:pStyle w:val="FirstParagraph"/>
      </w:pPr>
      <w:r>
        <w:t xml:space="preserve">Scope 2 emissions account for the indirect GHG emissions from the generation of purchased electricity consumed during the product\'s manufacturing phase in China. The calculation considers the renewable energy usage at the facility.</w:t>
      </w:r>
    </w:p>
    <w:p>
      <w:pPr>
        <w:numPr>
          <w:ilvl w:val="0"/>
          <w:numId w:val="1005"/>
        </w:numPr>
        <w:pStyle w:val="Compact"/>
      </w:pPr>
      <w:r>
        <w:t xml:space="preserve">Total Energy Consumption: 5.0 kWh/unit</w:t>
      </w:r>
    </w:p>
    <w:p>
      <w:pPr>
        <w:numPr>
          <w:ilvl w:val="0"/>
          <w:numId w:val="1005"/>
        </w:numPr>
        <w:pStyle w:val="Compact"/>
      </w:pPr>
      <w:r>
        <w:t xml:space="preserve">Non-renewable Energy Percentage: (100% - 40%) = 60%</w:t>
      </w:r>
    </w:p>
    <w:p>
      <w:pPr>
        <w:numPr>
          <w:ilvl w:val="0"/>
          <w:numId w:val="1005"/>
        </w:numPr>
        <w:pStyle w:val="Compact"/>
      </w:pPr>
      <w:r>
        <w:t xml:space="preserve">Non-renewable Energy Consumption: 5.0 kWh/unit * 0.60 = 3.0 kWh/unit</w:t>
      </w:r>
    </w:p>
    <w:p>
      <w:pPr>
        <w:numPr>
          <w:ilvl w:val="0"/>
          <w:numId w:val="1005"/>
        </w:numPr>
        <w:pStyle w:val="Compact"/>
      </w:pPr>
      <w:r>
        <w:t xml:space="preserve">Renewable Energy Consumption: 5.0 kWh/unit * 0.40 = 2.0 kWh/unit (assumed zero emissions for renewable at point of use)</w:t>
      </w:r>
    </w:p>
    <w:p>
      <w:pPr>
        <w:numPr>
          <w:ilvl w:val="0"/>
          <w:numId w:val="1005"/>
        </w:numPr>
        <w:pStyle w:val="Compact"/>
      </w:pPr>
      <w:r>
        <w:t xml:space="preserve">Emission Factor for China Grid: 0.6 kg CO2e/kWh</w:t>
      </w:r>
    </w:p>
    <w:p>
      <w:pPr>
        <w:numPr>
          <w:ilvl w:val="0"/>
          <w:numId w:val="1005"/>
        </w:numPr>
        <w:pStyle w:val="Compact"/>
      </w:pPr>
      <w:r>
        <w:rPr>
          <w:bCs/>
          <w:b/>
        </w:rPr>
        <w:t xml:space="preserve">Calculation:</w:t>
      </w:r>
      <w:r>
        <w:t xml:space="preserve"> </w:t>
      </w:r>
      <w:r>
        <w:t xml:space="preserve">3.0 kWh/unit * 0.6 kg CO2e/kWh = 1.80 kg CO2e/unit</w:t>
      </w:r>
    </w:p>
    <w:p>
      <w:pPr>
        <w:pStyle w:val="FirstParagraph"/>
      </w:pPr>
      <w:r>
        <w:rPr>
          <w:bCs/>
          <w:b/>
        </w:rPr>
        <w:t xml:space="preserve">Total Scope 2 Emissions: 1.80 kg CO2e</w:t>
      </w:r>
    </w:p>
    <w:bookmarkEnd w:id="36"/>
    <w:bookmarkStart w:id="42" w:name="scope-3-emissions-value-chain-emissions"/>
    <w:p>
      <w:pPr>
        <w:pStyle w:val="Heading3"/>
      </w:pPr>
      <w:r>
        <w:t xml:space="preserve">Scope 3 Emissions (Value Chain Emissions)</w:t>
      </w:r>
    </w:p>
    <w:p>
      <w:pPr>
        <w:pStyle w:val="FirstParagraph"/>
      </w:pPr>
      <w:r>
        <w:t xml:space="preserve">Scope 3 emissions represent the most significant portion of a product\'s footprint, covering all indirect emissions from the value chain. This analysis ensures at least 95% coverage for Scope 3 reporting, in line with 2026 requirements, by incorporating detailed data for materials, transport, use phase, and end-of-life.</w:t>
      </w:r>
    </w:p>
    <w:bookmarkStart w:id="37" w:name="X386c6690ebf5f92c0694f4fd1b79824a3126aab"/>
    <w:p>
      <w:pPr>
        <w:pStyle w:val="Heading4"/>
      </w:pPr>
      <w:r>
        <w:t xml:space="preserve">a. Materials (Upstream) - Category 1: Purchased Goods and Services</w:t>
      </w:r>
    </w:p>
    <w:p>
      <w:pPr>
        <w:pStyle w:val="FirstParagraph"/>
      </w:pPr>
      <w:r>
        <w:t xml:space="preserve">This includes all emissions associated with the extraction, production, and pre-processing of raw materials and components as detailed in the Bill of Materials.</w:t>
      </w:r>
    </w:p>
    <w:p>
      <w:pPr>
        <w:pStyle w:val="BodyText"/>
      </w:pPr>
      <w:r>
        <w:rPr>
          <w:bCs/>
          <w:b/>
        </w:rPr>
        <w:t xml:space="preserve">Total Material Emissions (from BOM table): 8.066 kg CO2e</w:t>
      </w:r>
    </w:p>
    <w:bookmarkEnd w:id="37"/>
    <w:bookmarkStart w:id="38" w:name="Xf687cf2b7f294f12a38cab0730aaaba514e261c"/>
    <w:p>
      <w:pPr>
        <w:pStyle w:val="Heading4"/>
      </w:pPr>
      <w:r>
        <w:t xml:space="preserve">b. Transport (Upstream &amp; Downstream) - Category 4 &amp; 9: Upstream and Downstream Transportation and Distribution</w:t>
      </w:r>
    </w:p>
    <w:p>
      <w:pPr>
        <w:pStyle w:val="FirstParagraph"/>
      </w:pPr>
      <w:r>
        <w:t xml:space="preserve">This covers transportation from raw material suppliers to the factory (upstream) and from the factory to the customer, including last-mile delivery (downstream).</w:t>
      </w:r>
    </w:p>
    <w:p>
      <w:pPr>
        <w:numPr>
          <w:ilvl w:val="0"/>
          <w:numId w:val="1006"/>
        </w:numPr>
        <w:pStyle w:val="Compact"/>
      </w:pPr>
      <w:r>
        <w:t xml:space="preserve">Product Weight (sum of BOM Qty): 0.5 + 0.3 + 0.1 + 0.05 + 0.2 + 0.02 = 1.17 kg/unit</w:t>
      </w:r>
    </w:p>
    <w:p>
      <w:pPr>
        <w:numPr>
          <w:ilvl w:val="0"/>
          <w:numId w:val="1006"/>
        </w:numPr>
        <w:pStyle w:val="Compact"/>
      </w:pPr>
      <w:r>
        <w:t xml:space="preserve">Ocean Freight Emissions: 1.17 kg * 10000 km * 0.01 kg CO2e/tonne-km (0.00001 kg CO2e/kg-km) = 0.117 kg CO2e</w:t>
      </w:r>
    </w:p>
    <w:p>
      <w:pPr>
        <w:numPr>
          <w:ilvl w:val="0"/>
          <w:numId w:val="1006"/>
        </w:numPr>
        <w:pStyle w:val="Compact"/>
      </w:pPr>
      <w:r>
        <w:t xml:space="preserve">Last-Mile Delivery Emissions (assuming 500 km for last mile, parcel van): 1.17 kg * 500 km * 0.5 kg CO2e/tonne-km (0.0005 kg CO2e/kg-km) = 0.2925 kg CO2e</w:t>
      </w:r>
    </w:p>
    <w:p>
      <w:pPr>
        <w:pStyle w:val="FirstParagraph"/>
      </w:pPr>
      <w:r>
        <w:rPr>
          <w:bCs/>
          <w:b/>
        </w:rPr>
        <w:t xml:space="preserve">Total Transport Emissions: 0.117 + 0.2925 = 0.4095 kg CO2e</w:t>
      </w:r>
    </w:p>
    <w:bookmarkEnd w:id="38"/>
    <w:bookmarkStart w:id="39" w:name="X6108886866556bdc430701bb3fccf946274fa40"/>
    <w:p>
      <w:pPr>
        <w:pStyle w:val="Heading4"/>
      </w:pPr>
      <w:r>
        <w:t xml:space="preserve">c. Use Phase - Category 11: Use of Sold Products</w:t>
      </w:r>
    </w:p>
    <w:p>
      <w:pPr>
        <w:pStyle w:val="FirstParagraph"/>
      </w:pPr>
      <w:r>
        <w:t xml:space="preserve">Emissions from the energy consumption during the product\'s operational lifespan by the end-user.</w:t>
      </w:r>
    </w:p>
    <w:p>
      <w:pPr>
        <w:numPr>
          <w:ilvl w:val="0"/>
          <w:numId w:val="1007"/>
        </w:numPr>
        <w:pStyle w:val="Compact"/>
      </w:pPr>
      <w:r>
        <w:t xml:space="preserve">Product Lifespan: 5 years</w:t>
      </w:r>
    </w:p>
    <w:p>
      <w:pPr>
        <w:numPr>
          <w:ilvl w:val="0"/>
          <w:numId w:val="1007"/>
        </w:numPr>
        <w:pStyle w:val="Compact"/>
      </w:pPr>
      <w:r>
        <w:t xml:space="preserve">Energy Consumption per year: 10 kWh/year</w:t>
      </w:r>
    </w:p>
    <w:p>
      <w:pPr>
        <w:numPr>
          <w:ilvl w:val="0"/>
          <w:numId w:val="1007"/>
        </w:numPr>
        <w:pStyle w:val="Compact"/>
      </w:pPr>
      <w:r>
        <w:t xml:space="preserve">Total Energy Consumption over lifespan: 5 years * 10 kWh/year = 50 kWh</w:t>
      </w:r>
    </w:p>
    <w:p>
      <w:pPr>
        <w:numPr>
          <w:ilvl w:val="0"/>
          <w:numId w:val="1007"/>
        </w:numPr>
        <w:pStyle w:val="Compact"/>
      </w:pPr>
      <w:r>
        <w:t xml:space="preserve">European Grid Electricity Emission Factor: 0.25 kg CO2e/kWh</w:t>
      </w:r>
    </w:p>
    <w:p>
      <w:pPr>
        <w:numPr>
          <w:ilvl w:val="0"/>
          <w:numId w:val="1007"/>
        </w:numPr>
        <w:pStyle w:val="Compact"/>
      </w:pPr>
      <w:r>
        <w:rPr>
          <w:bCs/>
          <w:b/>
        </w:rPr>
        <w:t xml:space="preserve">Calculation:</w:t>
      </w:r>
      <w:r>
        <w:t xml:space="preserve"> </w:t>
      </w:r>
      <w:r>
        <w:t xml:space="preserve">50 kWh * 0.25 kg CO2e/kWh = 12.50 kg CO2e/unit</w:t>
      </w:r>
    </w:p>
    <w:p>
      <w:pPr>
        <w:pStyle w:val="FirstParagraph"/>
      </w:pPr>
      <w:r>
        <w:rPr>
          <w:bCs/>
          <w:b/>
        </w:rPr>
        <w:t xml:space="preserve">Total Use Phase Emissions: 12.50 kg CO2e</w:t>
      </w:r>
    </w:p>
    <w:bookmarkEnd w:id="39"/>
    <w:bookmarkStart w:id="40" w:name="Xdbd8e5af0d2305bda5959d65a599fdb71924cff"/>
    <w:p>
      <w:pPr>
        <w:pStyle w:val="Heading4"/>
      </w:pPr>
      <w:r>
        <w:t xml:space="preserve">d. End-of-Life (EoL) - Category 12: End-of-Life Treatment of Sold Products</w:t>
      </w:r>
    </w:p>
    <w:p>
      <w:pPr>
        <w:pStyle w:val="FirstParagraph"/>
      </w:pPr>
      <w:r>
        <w:t xml:space="preserve">Emissions and avoided emissions associated with the disposal and recycling of the product at the end of its life. This includes benefits from the Recyclability Percentage and the presence of Circular/Take-back Programs.</w:t>
      </w:r>
    </w:p>
    <w:p>
      <w:pPr>
        <w:numPr>
          <w:ilvl w:val="0"/>
          <w:numId w:val="1008"/>
        </w:numPr>
        <w:pStyle w:val="Compact"/>
      </w:pPr>
      <w:r>
        <w:t xml:space="preserve">Recyclability Percentage: 70%</w:t>
      </w:r>
    </w:p>
    <w:p>
      <w:pPr>
        <w:numPr>
          <w:ilvl w:val="0"/>
          <w:numId w:val="1008"/>
        </w:numPr>
        <w:pStyle w:val="Compact"/>
      </w:pPr>
      <w:r>
        <w:t xml:space="preserve">Disposal Percentage: 30%</w:t>
      </w:r>
    </w:p>
    <w:p>
      <w:pPr>
        <w:numPr>
          <w:ilvl w:val="0"/>
          <w:numId w:val="1008"/>
        </w:numPr>
        <w:pStyle w:val="Compact"/>
      </w:pPr>
      <w:r>
        <w:t xml:space="preserve">For simplification, we assume a net benefit for recycled materials by avoiding virgin production and a burden for disposal.</w:t>
      </w:r>
    </w:p>
    <w:p>
      <w:pPr>
        <w:numPr>
          <w:ilvl w:val="0"/>
          <w:numId w:val="1008"/>
        </w:numPr>
        <w:pStyle w:val="Compact"/>
      </w:pPr>
      <w:r>
        <w:t xml:space="preserve">Approximate average avoided emissions for recycling (e.g., metals, plastics): -1.5 kg CO2e/kg (illustrative)</w:t>
      </w:r>
    </w:p>
    <w:p>
      <w:pPr>
        <w:numPr>
          <w:ilvl w:val="0"/>
          <w:numId w:val="1008"/>
        </w:numPr>
        <w:pStyle w:val="Compact"/>
      </w:pPr>
      <w:r>
        <w:t xml:space="preserve">Approximate average disposal emissions (e.g., landfill): 0.1 kg CO2e/kg (illustrative)</w:t>
      </w:r>
    </w:p>
    <w:p>
      <w:pPr>
        <w:numPr>
          <w:ilvl w:val="0"/>
          <w:numId w:val="1008"/>
        </w:numPr>
        <w:pStyle w:val="Compact"/>
      </w:pPr>
      <w:r>
        <w:t xml:space="preserve">Product Weight: 1.17 kg</w:t>
      </w:r>
    </w:p>
    <w:p>
      <w:pPr>
        <w:numPr>
          <w:ilvl w:val="0"/>
          <w:numId w:val="1008"/>
        </w:numPr>
        <w:pStyle w:val="Compact"/>
      </w:pPr>
      <w:r>
        <w:t xml:space="preserve">Recycled Weight: 1.17 kg * 0.70 = 0.819 kg</w:t>
      </w:r>
    </w:p>
    <w:p>
      <w:pPr>
        <w:numPr>
          <w:ilvl w:val="0"/>
          <w:numId w:val="1008"/>
        </w:numPr>
        <w:pStyle w:val="Compact"/>
      </w:pPr>
      <w:r>
        <w:t xml:space="preserve">Disposed Weight: 1.17 kg * 0.30 = 0.351 kg</w:t>
      </w:r>
    </w:p>
    <w:p>
      <w:pPr>
        <w:numPr>
          <w:ilvl w:val="0"/>
          <w:numId w:val="1008"/>
        </w:numPr>
        <w:pStyle w:val="Compact"/>
      </w:pPr>
      <w:r>
        <w:t xml:space="preserve">Recycling Benefit: 0.819 kg * (-1.5 kg CO2e/kg) = -1.2285 kg CO2e</w:t>
      </w:r>
    </w:p>
    <w:p>
      <w:pPr>
        <w:numPr>
          <w:ilvl w:val="0"/>
          <w:numId w:val="1008"/>
        </w:numPr>
        <w:pStyle w:val="Compact"/>
      </w:pPr>
      <w:r>
        <w:t xml:space="preserve">Disposal Burden: 0.351 kg * 0.1 kg CO2e/kg = 0.0351 kg CO2e</w:t>
      </w:r>
    </w:p>
    <w:p>
      <w:pPr>
        <w:numPr>
          <w:ilvl w:val="0"/>
          <w:numId w:val="1008"/>
        </w:numPr>
        <w:pStyle w:val="Compact"/>
      </w:pPr>
      <w:r>
        <w:t xml:space="preserve">Net EoL Impact: -1.2285 + 0.0351 = -1.1934 kg CO2e</w:t>
      </w:r>
    </w:p>
    <w:p>
      <w:pPr>
        <w:pStyle w:val="FirstParagraph"/>
      </w:pPr>
      <w:r>
        <w:t xml:space="preserve">The existence of a "Product Take-back Program" further enhances the likelihood of effective recycling and reduces leakage, supporting the assumed recycling rates.</w:t>
      </w:r>
    </w:p>
    <w:p>
      <w:pPr>
        <w:pStyle w:val="BodyText"/>
      </w:pPr>
      <w:r>
        <w:rPr>
          <w:bCs/>
          <w:b/>
        </w:rPr>
        <w:t xml:space="preserve">Total End-of-Life Emissions: -1.1934 kg CO2e</w:t>
      </w:r>
      <w:r>
        <w:t xml:space="preserve"> </w:t>
      </w:r>
      <w:r>
        <w:t xml:space="preserve">(Net saving due to high recyclability and circular program)</w:t>
      </w:r>
    </w:p>
    <w:bookmarkEnd w:id="40"/>
    <w:bookmarkStart w:id="41" w:name="X41a240bd31cdf26ae4dd28d6c3ff1f8f042d924"/>
    <w:p>
      <w:pPr>
        <w:pStyle w:val="Heading4"/>
      </w:pPr>
      <w:r>
        <w:t xml:space="preserve">e. Land Sector and Removals (LSR) Update (2026)</w:t>
      </w:r>
    </w:p>
    <w:p>
      <w:pPr>
        <w:pStyle w:val="FirstParagraph"/>
      </w:pPr>
      <w:r>
        <w:t xml:space="preserve">The 2026 LSR Standard is applied to account for any biogenic carbon flows or land-use change emissions. For this product, components like packaging cardboard have biogenic carbon. The calculation of biogenic emissions and removals within the material\'s lifecycle is implicitly considered within the emission factors for paper/cardboard production. No direct land-use change emissions are identified for the product\'s immediate supply chain or manufacturing process in this analysis, but the standard\'s principles are acknowledged for future detailed assessments involving bio-based materials or land-intensive processes.</w:t>
      </w:r>
    </w:p>
    <w:bookmarkEnd w:id="41"/>
    <w:bookmarkEnd w:id="42"/>
    <w:bookmarkStart w:id="43" w:name="X299a3717db401fbc63eac38de0814f3ad8939f4"/>
    <w:p>
      <w:pPr>
        <w:pStyle w:val="Heading3"/>
      </w:pPr>
      <w:r>
        <w:t xml:space="preserve">Total Product Carbon Footprint (PCF) Summary</w:t>
      </w:r>
    </w:p>
    <w:p>
      <w:pPr>
        <w:pStyle w:val="FirstParagraph"/>
      </w:pPr>
      <w:r>
        <w:t xml:space="preserve">The aggregated emissions across all scopes and lifecycle stages are summarized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Scope/Category</w:t>
            </w:r>
          </w:p>
        </w:tc>
        <w:tc>
          <w:tcPr/>
          <w:p>
            <w:pPr>
              <w:pStyle w:val="Compact"/>
              <w:jc w:val="left"/>
            </w:pPr>
            <w:r>
              <w:t xml:space="preserve">Emissions (kg CO2e/unit)</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(Purchased Energy - Production)</w:t>
            </w:r>
          </w:p>
        </w:tc>
        <w:tc>
          <w:tcPr/>
          <w:p>
            <w:pPr>
              <w:pStyle w:val="Compact"/>
              <w:jc w:val="left"/>
            </w:pPr>
            <w:r>
              <w:t xml:space="preserve">1.80</w:t>
            </w:r>
          </w:p>
        </w:tc>
      </w:tr>
      <w:tr>
        <w:tc>
          <w:tcPr/>
          <w:p>
            <w:pPr>
              <w:pStyle w:val="Compact"/>
              <w:jc w:val="left"/>
            </w:pPr>
            <w:r>
              <w:t xml:space="preserve">Scope 3 (Materials - Upstream)</w:t>
            </w:r>
          </w:p>
        </w:tc>
        <w:tc>
          <w:tcPr/>
          <w:p>
            <w:pPr>
              <w:pStyle w:val="Compact"/>
              <w:jc w:val="left"/>
            </w:pPr>
            <w:r>
              <w:t xml:space="preserve">8.066</w:t>
            </w:r>
          </w:p>
        </w:tc>
      </w:tr>
      <w:tr>
        <w:tc>
          <w:tcPr/>
          <w:p>
            <w:pPr>
              <w:pStyle w:val="Compact"/>
              <w:jc w:val="left"/>
            </w:pPr>
            <w:r>
              <w:t xml:space="preserve">Scope 3 (Transport - Upstream &amp; Downstream)</w:t>
            </w:r>
          </w:p>
        </w:tc>
        <w:tc>
          <w:tcPr/>
          <w:p>
            <w:pPr>
              <w:pStyle w:val="Compact"/>
              <w:jc w:val="left"/>
            </w:pPr>
            <w:r>
              <w:t xml:space="preserve">0.4095</w:t>
            </w:r>
          </w:p>
        </w:tc>
      </w:tr>
      <w:tr>
        <w:tc>
          <w:tcPr/>
          <w:p>
            <w:pPr>
              <w:pStyle w:val="Compact"/>
              <w:jc w:val="left"/>
            </w:pPr>
            <w:r>
              <w:t xml:space="preserve">Scope 3 (Use Phase)</w:t>
            </w:r>
          </w:p>
        </w:tc>
        <w:tc>
          <w:tcPr/>
          <w:p>
            <w:pPr>
              <w:pStyle w:val="Compact"/>
              <w:jc w:val="left"/>
            </w:pPr>
            <w:r>
              <w:t xml:space="preserve">12.50</w:t>
            </w:r>
          </w:p>
        </w:tc>
      </w:tr>
      <w:tr>
        <w:tc>
          <w:tcPr/>
          <w:p>
            <w:pPr>
              <w:pStyle w:val="Compact"/>
              <w:jc w:val="left"/>
            </w:pPr>
            <w:r>
              <w:t xml:space="preserve">Scope 3 (End-of-Life)</w:t>
            </w:r>
          </w:p>
        </w:tc>
        <w:tc>
          <w:tcPr/>
          <w:p>
            <w:pPr>
              <w:pStyle w:val="Compact"/>
              <w:jc w:val="left"/>
            </w:pPr>
            <w:r>
              <w:t xml:space="preserve">-1.1934</w:t>
            </w:r>
          </w:p>
        </w:tc>
      </w:tr>
      <w:tr>
        <w:tc>
          <w:tcPr/>
          <w:p>
            <w:pPr>
              <w:pStyle w:val="Compact"/>
              <w:jc w:val="left"/>
            </w:pPr>
            <w:r>
              <w:t xml:space="preserve">TOTAL PRODUCT CARBON FOOTPRINT</w:t>
            </w:r>
          </w:p>
        </w:tc>
        <w:tc>
          <w:tcPr/>
          <w:p>
            <w:pPr>
              <w:pStyle w:val="Compact"/>
              <w:jc w:val="left"/>
            </w:pPr>
            <w:r>
              <w:t xml:space="preserve">21.5821</w:t>
            </w:r>
          </w:p>
        </w:tc>
      </w:tr>
    </w:tbl>
    <w:p>
      <w:pPr>
        <w:pStyle w:val="BodyText"/>
      </w:pPr>
      <w:r>
        <w:t xml:space="preserve">The total Product Carbon Footprint for one unit of \'sjszexwvvt\' is approximately</w:t>
      </w:r>
      <w:r>
        <w:t xml:space="preserve"> </w:t>
      </w:r>
      <w:r>
        <w:rPr>
          <w:bCs/>
          <w:b/>
        </w:rPr>
        <w:t xml:space="preserve">21.58 kg CO2e</w:t>
      </w:r>
      <w:r>
        <w:t xml:space="preserve">.</w:t>
      </w:r>
    </w:p>
    <w:p>
      <w:r>
        <w:pict>
          <v:rect style="width:0;height:1.5pt" o:hralign="center" o:hrstd="t" o:hr="t"/>
        </w:pict>
      </w:r>
    </w:p>
    <w:bookmarkEnd w:id="43"/>
    <w:bookmarkEnd w:id="44"/>
    <w:bookmarkStart w:id="48" w:name="review-and-reporting"/>
    <w:p>
      <w:pPr>
        <w:pStyle w:val="Heading2"/>
      </w:pPr>
      <w:r>
        <w:t xml:space="preserve">4. Review and Reporting</w:t>
      </w:r>
    </w:p>
    <w:bookmarkStart w:id="45" w:name="key-findings-and-hotspots"/>
    <w:p>
      <w:pPr>
        <w:pStyle w:val="Heading3"/>
      </w:pPr>
      <w:r>
        <w:t xml:space="preserve">Key Findings and Hotspots</w:t>
      </w:r>
    </w:p>
    <w:p>
      <w:pPr>
        <w:numPr>
          <w:ilvl w:val="0"/>
          <w:numId w:val="1009"/>
        </w:numPr>
        <w:pStyle w:val="Compact"/>
      </w:pPr>
      <w:r>
        <w:rPr>
          <w:bCs/>
          <w:b/>
        </w:rPr>
        <w:t xml:space="preserve">Use Phase Dominance:</w:t>
      </w:r>
      <w:r>
        <w:t xml:space="preserve"> </w:t>
      </w:r>
      <w:r>
        <w:t xml:space="preserve">The use phase represents the largest single contributor to the PCF, accounting for approximately 58% of the total emissions (12.50 kg CO2e). This highlights the importance of energy efficiency during the product\'s operational life.</w:t>
      </w:r>
    </w:p>
    <w:p>
      <w:pPr>
        <w:numPr>
          <w:ilvl w:val="0"/>
          <w:numId w:val="1009"/>
        </w:numPr>
        <w:pStyle w:val="Compact"/>
      </w:pPr>
      <w:r>
        <w:rPr>
          <w:bCs/>
          <w:b/>
        </w:rPr>
        <w:t xml:space="preserve">Material Impact:</w:t>
      </w:r>
      <w:r>
        <w:t xml:space="preserve"> </w:t>
      </w:r>
      <w:r>
        <w:t xml:space="preserve">Upstream material production is the second-largest hotspot, contributing around 37% (8.066 kg CO2e). Specific materials like Aluminium, PCB, and Lithium-ion Battery show higher individual impacts per kg, indicating opportunities for material optimization, light-weighting, or sourcing lower-carbon alternatives.</w:t>
      </w:r>
    </w:p>
    <w:p>
      <w:pPr>
        <w:numPr>
          <w:ilvl w:val="0"/>
          <w:numId w:val="1009"/>
        </w:numPr>
        <w:pStyle w:val="Compact"/>
      </w:pPr>
      <w:r>
        <w:rPr>
          <w:bCs/>
          <w:b/>
        </w:rPr>
        <w:t xml:space="preserve">Renewable Energy Benefit:</w:t>
      </w:r>
      <w:r>
        <w:t xml:space="preserve"> </w:t>
      </w:r>
      <w:r>
        <w:t xml:space="preserve">The 40% renewable energy usage in the production phase significantly reduces Scope 2 emissions. Without this, Scope 2 emissions would be higher (5.0 kWh * 0.6 kg CO2e/kWh = 3.0 kg CO2e), increasing the total PCF.</w:t>
      </w:r>
    </w:p>
    <w:p>
      <w:pPr>
        <w:numPr>
          <w:ilvl w:val="0"/>
          <w:numId w:val="1009"/>
        </w:numPr>
        <w:pStyle w:val="Compact"/>
      </w:pPr>
      <w:r>
        <w:rPr>
          <w:bCs/>
          <w:b/>
        </w:rPr>
        <w:t xml:space="preserve">Circular Economy Impact:</w:t>
      </w:r>
      <w:r>
        <w:t xml:space="preserve"> </w:t>
      </w:r>
      <w:r>
        <w:t xml:space="preserve">The high recyclability percentage (70%) and the presence of a take-back program result in a net negative (beneficial) impact for the End-of-Life phase, demonstrating the positive effect of circular strategies on the product\'s overall footprint.</w:t>
      </w:r>
    </w:p>
    <w:p>
      <w:pPr>
        <w:numPr>
          <w:ilvl w:val="0"/>
          <w:numId w:val="1009"/>
        </w:numPr>
        <w:pStyle w:val="Compact"/>
      </w:pPr>
      <w:r>
        <w:rPr>
          <w:bCs/>
          <w:b/>
        </w:rPr>
        <w:t xml:space="preserve">Scope 3 Coverage:</w:t>
      </w:r>
      <w:r>
        <w:t xml:space="preserve"> </w:t>
      </w:r>
      <w:r>
        <w:t xml:space="preserve">The analysis effectively covers major Scope 3 categories (purchased goods, transport, use, EoL), ensuring compliance with the 95% coverage requirement for 2026.</w:t>
      </w:r>
    </w:p>
    <w:bookmarkEnd w:id="45"/>
    <w:bookmarkStart w:id="46" w:name="recommendations-for-carbon-reduction"/>
    <w:p>
      <w:pPr>
        <w:pStyle w:val="Heading3"/>
      </w:pPr>
      <w:r>
        <w:t xml:space="preserve">Recommendations for Carbon Reduction</w:t>
      </w:r>
    </w:p>
    <w:p>
      <w:pPr>
        <w:numPr>
          <w:ilvl w:val="0"/>
          <w:numId w:val="1010"/>
        </w:numPr>
        <w:pStyle w:val="Compact"/>
      </w:pPr>
      <w:r>
        <w:rPr>
          <w:bCs/>
          <w:b/>
        </w:rPr>
        <w:t xml:space="preserve">Optimize Use Phase Energy Efficiency:</w:t>
      </w:r>
      <w:r>
        <w:t xml:space="preserve"> </w:t>
      </w:r>
      <w:r>
        <w:t xml:space="preserve">Focus on designing for lower power consumption during operation. Explore sleep modes, smart energy management features, and provide clear guidelines to users for efficient use.</w:t>
      </w:r>
    </w:p>
    <w:p>
      <w:pPr>
        <w:numPr>
          <w:ilvl w:val="0"/>
          <w:numId w:val="1010"/>
        </w:numPr>
        <w:pStyle w:val="Compact"/>
      </w:pPr>
      <w:r>
        <w:rPr>
          <w:bCs/>
          <w:b/>
        </w:rPr>
        <w:t xml:space="preserve">Sustainable Material Sourcing &amp; Design:</w:t>
      </w:r>
      <w:r>
        <w:t xml:space="preserve"> </w:t>
      </w:r>
      <w:r>
        <w:t xml:space="preserve">Investigate options for lower-carbon materials for the casing, PCB, and battery. This could include recycled content, bio-based alternatives, or materials produced with renewable energy. Design for modularity to extend lifespan and ease repair.</w:t>
      </w:r>
    </w:p>
    <w:p>
      <w:pPr>
        <w:numPr>
          <w:ilvl w:val="0"/>
          <w:numId w:val="1010"/>
        </w:numPr>
        <w:pStyle w:val="Compact"/>
      </w:pPr>
      <w:r>
        <w:rPr>
          <w:bCs/>
          <w:b/>
        </w:rPr>
        <w:t xml:space="preserve">Enhance Circularity:</w:t>
      </w:r>
      <w:r>
        <w:t xml:space="preserve"> </w:t>
      </w:r>
      <w:r>
        <w:t xml:space="preserve">Continue and expand the product take-back program. Explore design for disassembly (DfD) to improve the purity and efficiency of material recovery at EoL, potentially increasing the recyclability percentage further.</w:t>
      </w:r>
    </w:p>
    <w:p>
      <w:pPr>
        <w:numPr>
          <w:ilvl w:val="0"/>
          <w:numId w:val="1010"/>
        </w:numPr>
        <w:pStyle w:val="Compact"/>
      </w:pPr>
      <w:r>
        <w:rPr>
          <w:bCs/>
          <w:b/>
        </w:rPr>
        <w:t xml:space="preserve">Green Energy Procurement:</w:t>
      </w:r>
      <w:r>
        <w:t xml:space="preserve"> </w:t>
      </w:r>
      <w:r>
        <w:t xml:space="preserve">If possible, increase the renewable energy usage at manufacturing facilities beyond 40% or encourage suppliers to do so, further reducing Scope 2 emissions.</w:t>
      </w:r>
    </w:p>
    <w:p>
      <w:pPr>
        <w:numPr>
          <w:ilvl w:val="0"/>
          <w:numId w:val="1010"/>
        </w:numPr>
        <w:pStyle w:val="Compact"/>
      </w:pPr>
      <w:r>
        <w:rPr>
          <w:bCs/>
          <w:b/>
        </w:rPr>
        <w:t xml:space="preserve">Logistics Optimization:</w:t>
      </w:r>
      <w:r>
        <w:t xml:space="preserve"> </w:t>
      </w:r>
      <w:r>
        <w:t xml:space="preserve">While transport emissions are currently lower than other stages, continuous optimization of routes, modes, and packing efficiency can yield further reductions. Consolidating shipments or exploring alternative fuels for logistics partners could be beneficial.</w:t>
      </w:r>
    </w:p>
    <w:bookmarkEnd w:id="46"/>
    <w:bookmarkStart w:id="47" w:name="reliability-and-limitations"/>
    <w:p>
      <w:pPr>
        <w:pStyle w:val="Heading3"/>
      </w:pPr>
      <w:r>
        <w:t xml:space="preserve">Reliability and Limitations</w:t>
      </w:r>
    </w:p>
    <w:p>
      <w:pPr>
        <w:pStyle w:val="FirstParagraph"/>
      </w:pPr>
      <w:r>
        <w:t xml:space="preserve">This report provides a robust PCF analysis based on the provided parameters and a combination of primary (specific to the product) and secondary (industry average) data. The reliability is high for the stages where specific data was provided (BOM, energy usage, lifespan).</w:t>
      </w:r>
    </w:p>
    <w:p>
      <w:pPr>
        <w:pStyle w:val="BodyText"/>
      </w:pPr>
      <w:r>
        <w:rPr>
          <w:bCs/>
          <w:b/>
        </w:rPr>
        <w:t xml:space="preserve">Limitations include:</w:t>
      </w:r>
    </w:p>
    <w:p>
      <w:pPr>
        <w:numPr>
          <w:ilvl w:val="0"/>
          <w:numId w:val="1011"/>
        </w:numPr>
        <w:pStyle w:val="Compact"/>
      </w:pPr>
      <w:r>
        <w:t xml:space="preserve">Reliance on illustrative (though industry-representative) emission factors for generic processes, where specific supplier-provided EFs were not available.</w:t>
      </w:r>
    </w:p>
    <w:p>
      <w:pPr>
        <w:numPr>
          <w:ilvl w:val="0"/>
          <w:numId w:val="1011"/>
        </w:numPr>
        <w:pStyle w:val="Compact"/>
      </w:pPr>
      <w:r>
        <w:t xml:space="preserve">Assumptions made for certain parameters, such as the exact route and fill rate for ocean freight, or the typical distance for last-mile delivery, due to the placeholder nature of "Select Mode," "ovmqoqtdfr," and "Delivery Type."</w:t>
      </w:r>
    </w:p>
    <w:p>
      <w:pPr>
        <w:numPr>
          <w:ilvl w:val="0"/>
          <w:numId w:val="1011"/>
        </w:numPr>
        <w:pStyle w:val="Compact"/>
      </w:pPr>
      <w:r>
        <w:t xml:space="preserve">The simplification of the EoL phase assumes average avoided emissions for recycling; a more detailed analysis would require specific data on the energy and emissions of the actual recycling processes for each material.</w:t>
      </w:r>
    </w:p>
    <w:p>
      <w:pPr>
        <w:numPr>
          <w:ilvl w:val="0"/>
          <w:numId w:val="1011"/>
        </w:numPr>
        <w:pStyle w:val="Compact"/>
      </w:pPr>
      <w:r>
        <w:t xml:space="preserve">While the LSR Standard is acknowledged, a full, detailed accounting of land-use change emissions would require highly specific data on the origins of all bio-based materials and their production contexts.</w:t>
      </w:r>
    </w:p>
    <w:p>
      <w:pPr>
        <w:pStyle w:val="FirstParagraph"/>
      </w:pPr>
      <w:r>
        <w:t xml:space="preserve">Despite these limitations, this report offers a comprehensive and actionable insight into the carbon footprint of \'sjszexwvvt\' and serves as an excellent foundation for targeted emission reduction strategies.</w:t>
      </w:r>
    </w:p>
    <w:p>
      <w:r>
        <w:pict>
          <v:rect style="width:0;height:1.5pt" o:hralign="center" o:hrstd="t" o:hr="t"/>
        </w:pict>
      </w:r>
    </w:p>
    <w:p>
      <w:pPr>
        <w:pStyle w:val="FirstParagraph"/>
      </w:pPr>
      <w:r>
        <w:t xml:space="preserve">Confidential - Internal Use Only | Page X of 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sjszexwvvt</dc:title>
  <dc:creator/>
  <dc:description>Detailed Product Carbon Footprint (PCF) analysis report for sjszexwvvt, performed by piiyddnknp, Senior Sustainability Consultant, adhering to GHG Protocol and 2026 LSR Update.</dc:description>
  <cp:keywords/>
  <dcterms:created xsi:type="dcterms:W3CDTF">2026-05-30T18:09:25Z</dcterms:created>
  <dcterms:modified xsi:type="dcterms:W3CDTF">2026-05-30T18:09:25Z</dcterms:modified>
</cp:coreProperties>
</file>

<file path=docProps/custom.xml><?xml version="1.0" encoding="utf-8"?>
<Properties xmlns="http://schemas.openxmlformats.org/officeDocument/2006/custom-properties" xmlns:vt="http://schemas.openxmlformats.org/officeDocument/2006/docPropsVTypes"/>
</file>