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sikuxoturz</w:t>
      </w:r>
    </w:p>
    <w:p>
      <w:pPr>
        <w:pStyle w:val="FirstParagraph"/>
      </w:pPr>
      <w:r>
        <w:t xml:space="preserve">carboncalcpcf.com</w:t>
      </w:r>
    </w:p>
    <w:bookmarkStart w:id="21" w:name="product-carbon-footprint-analysis"/>
    <w:p>
      <w:pPr>
        <w:pStyle w:val="Heading1"/>
      </w:pPr>
      <w:r>
        <w:t xml:space="preserve">Product Carbon Footprint Analysis</w:t>
      </w:r>
    </w:p>
    <w:bookmarkStart w:id="20" w:name="for-sikuxoturz"/>
    <w:p>
      <w:pPr>
        <w:pStyle w:val="Heading2"/>
      </w:pPr>
      <w:r>
        <w:t xml:space="preserve">for sikuxoturz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jrkzkenomh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tlgvwydslg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The accuracy of the results is dependent on the completeness and precision of the</w:t>
      </w:r>
      <w:r>
        <w:t xml:space="preserve"> </w:t>
      </w:r>
      <w:r>
        <w:t xml:space="preserve">provided input parameters and the emission factors used.</w:t>
      </w:r>
    </w:p>
    <w:bookmarkEnd w:id="20"/>
    <w:bookmarkEnd w:id="21"/>
    <w:p>
      <w:pPr>
        <w:pStyle w:val="BodyText"/>
      </w:pPr>
      <w:r>
        <w:t xml:space="preserve">Product Carbon Footprint Report - sikuxoturz | Generated Date: May 28, 2026</w:t>
      </w:r>
    </w:p>
    <w:bookmarkStart w:id="22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sikuxoturz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jrkzkenomh</w:t>
      </w:r>
      <w:r>
        <w:t xml:space="preserve">. The analysis was conducted by</w:t>
      </w:r>
      <w:r>
        <w:t xml:space="preserve"> </w:t>
      </w:r>
      <w:r>
        <w:rPr>
          <w:bCs/>
          <w:b/>
        </w:rPr>
        <w:t xml:space="preserve">tlgvwydslg</w:t>
      </w:r>
      <w:r>
        <w:t xml:space="preserve">, Senior Sustainability Consultant,</w:t>
      </w:r>
      <w:r>
        <w:t xml:space="preserve"> </w:t>
      </w:r>
      <w:r>
        <w:t xml:space="preserve">adhering strictly to the Greenhouse Gas (GHG) Protocol. The objective is to quantify the greenhouse gas emissions</w:t>
      </w:r>
      <w:r>
        <w:t xml:space="preserve"> </w:t>
      </w:r>
      <w:r>
        <w:t xml:space="preserve">(expressed in CO2e) associated with the product\'s lifecycle, from material extraction to end-of-life,</w:t>
      </w:r>
      <w:r>
        <w:t xml:space="preserve"> </w:t>
      </w:r>
      <w:r>
        <w:t xml:space="preserve">to identify emission hotspots and inform strategic decarbonization efforts.</w:t>
      </w:r>
    </w:p>
    <w:p>
      <w:pPr>
        <w:pStyle w:val="BodyText"/>
      </w:pPr>
      <w:r>
        <w:t xml:space="preserve">The total Product Carbon Footprint for one functional unit of sikuxoturz is calculated to be</w:t>
      </w:r>
      <w:r>
        <w:t xml:space="preserve"> </w:t>
      </w:r>
      <w:r>
        <w:rPr>
          <w:bCs/>
          <w:b/>
        </w:rPr>
        <w:t xml:space="preserve">14.05 kg CO2e</w:t>
      </w:r>
      <w:r>
        <w:t xml:space="preserve">.</w:t>
      </w:r>
      <w:r>
        <w:t xml:space="preserve"> </w:t>
      </w:r>
      <w:r>
        <w:t xml:space="preserve">Key emission contributors include the Use Phase, followed by the Production Phase and material impacts.</w:t>
      </w:r>
      <w:r>
        <w:t xml:space="preserve"> </w:t>
      </w:r>
      <w:r>
        <w:t xml:space="preserve">Significant benefits are identified from end-of-life recycling programs.</w:t>
      </w:r>
    </w:p>
    <w:p>
      <w:r>
        <w:pict>
          <v:rect style="width:0;height:1.5pt" o:hralign="center" o:hrstd="t" o:hr="t"/>
        </w:pict>
      </w:r>
    </w:p>
    <w:bookmarkEnd w:id="22"/>
    <w:bookmarkStart w:id="32" w:name="methodology-and-scope-definition"/>
    <w:p>
      <w:pPr>
        <w:pStyle w:val="Heading1"/>
      </w:pPr>
      <w:r>
        <w:t xml:space="preserve">1. Methodology and Scope Definition</w:t>
      </w:r>
    </w:p>
    <w:p>
      <w:pPr>
        <w:pStyle w:val="FirstParagraph"/>
      </w:pPr>
      <w:r>
        <w:t xml:space="preserve">This Product Carbon Footprint (PCF) analysis for</w:t>
      </w:r>
      <w:r>
        <w:t xml:space="preserve"> </w:t>
      </w:r>
      <w:r>
        <w:rPr>
          <w:bCs/>
          <w:b/>
        </w:rPr>
        <w:t xml:space="preserve">sikuxoturz</w:t>
      </w:r>
      <w:r>
        <w:t xml:space="preserve"> </w:t>
      </w:r>
      <w:r>
        <w:t xml:space="preserve">follows the five-step methodology</w:t>
      </w:r>
      <w:r>
        <w:t xml:space="preserve"> </w:t>
      </w:r>
      <w:r>
        <w:t xml:space="preserve">recommended by the GHG Protocol Product Life Cycle Accounting and Reporting Standard.</w:t>
      </w:r>
    </w:p>
    <w:bookmarkStart w:id="24" w:name="define-scope"/>
    <w:p>
      <w:pPr>
        <w:pStyle w:val="Heading2"/>
      </w:pPr>
      <w:r>
        <w:t xml:space="preserve">1.1.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sikuxoturz. This represents the quantified performance of the product system for use as a reference unit.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Cradle-to-grave, specifically "factory_gate" for initial production, extending through transport, use, and end-of-life.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with a Supply Chain Focus on Europe. The Use Phase is assumed to primarily occur in Europe.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The analysis strictly adheres to the</w:t>
      </w:r>
      <w:r>
        <w:t xml:space="preserve"> </w:t>
      </w:r>
      <w:hyperlink r:id="rId23">
        <w:r>
          <w:rPr>
            <w:rStyle w:val="Hyperlink"/>
          </w:rPr>
          <w:t xml:space="preserve">GHG Protocol Product Life Cycle Accounting and Reporting Standard</w:t>
        </w:r>
      </w:hyperlink>
      <w:r>
        <w:t xml:space="preserve">. Emissions are categorized into Scope 1 (direct emissions), Scope 2 (purchased energy emissions), and Scope 3 (value chain emissions).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directly to the functional unit based on mass, energy consumption, and distance traveled, where applicable. For shared transport, a mass-based allocation approach is applied.</w:t>
      </w:r>
    </w:p>
    <w:bookmarkEnd w:id="24"/>
    <w:bookmarkStart w:id="25" w:name="map-lifecycle-lci-inventory-stages"/>
    <w:p>
      <w:pPr>
        <w:pStyle w:val="Heading2"/>
      </w:pPr>
      <w:r>
        <w:t xml:space="preserve">1.2. Map Lifecycle (LCI inventory stages)</w:t>
      </w:r>
    </w:p>
    <w:p>
      <w:pPr>
        <w:pStyle w:val="FirstParagraph"/>
      </w:pPr>
      <w:r>
        <w:t xml:space="preserve">The lifecycle of sikuxoturz is mapped across the following stages, each contributing to the overall carbon footprint: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 Acquisition &amp; Pre-processing (Upstream - Scope 3):</w:t>
      </w:r>
      <w:r>
        <w:t xml:space="preserve"> </w:t>
      </w:r>
      <w:r>
        <w:t xml:space="preserve">Includes extraction of raw materials, manufacturing of components, and their transport to the production facility.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Production (Core - Scope 1 &amp; 2):</w:t>
      </w:r>
      <w:r>
        <w:t xml:space="preserve"> </w:t>
      </w:r>
      <w:r>
        <w:t xml:space="preserve">Manufacturing processes at</w:t>
      </w:r>
      <w:r>
        <w:t xml:space="preserve"> </w:t>
      </w:r>
      <w:r>
        <w:rPr>
          <w:bCs/>
          <w:b/>
        </w:rPr>
        <w:t xml:space="preserve">jrkzkenomh</w:t>
      </w:r>
      <w:r>
        <w:t xml:space="preserve">\'s facility in China, including direct emissions (Scope 1, assumed negligible for this product given parameters) and purchased electricity (Scope 2).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 &amp; Distribution (Downstream - Scope 3):</w:t>
      </w:r>
      <w:r>
        <w:t xml:space="preserve"> </w:t>
      </w:r>
      <w:r>
        <w:t xml:space="preserve">Transportation of the finished product from the factory gate to the customer.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 (Downstream - Scope 3):</w:t>
      </w:r>
      <w:r>
        <w:t xml:space="preserve"> </w:t>
      </w:r>
      <w:r>
        <w:t xml:space="preserve">Energy consumption during the product\'s operational lifespan.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(Downstream - Scope 3):</w:t>
      </w:r>
      <w:r>
        <w:t xml:space="preserve"> </w:t>
      </w:r>
      <w:r>
        <w:t xml:space="preserve">Disposal or recycling of the product after its useful life.</w:t>
      </w:r>
    </w:p>
    <w:bookmarkEnd w:id="25"/>
    <w:bookmarkStart w:id="28" w:name="Xb57f50a89bf1f3f1837369be949d9d60d6c1272"/>
    <w:p>
      <w:pPr>
        <w:pStyle w:val="Heading2"/>
      </w:pPr>
      <w:r>
        <w:t xml:space="preserve">1.3. Collect Data (Primary/Secondary data points)</w:t>
      </w:r>
    </w:p>
    <w:p>
      <w:pPr>
        <w:pStyle w:val="FirstParagraph"/>
      </w:pPr>
      <w:r>
        <w:t xml:space="preserve">Both primary and secondary data sources were utilized. Primary data was provided by</w:t>
      </w:r>
      <w:r>
        <w:t xml:space="preserve"> </w:t>
      </w:r>
      <w:r>
        <w:rPr>
          <w:bCs/>
          <w:b/>
        </w:rPr>
        <w:t xml:space="preserve">jrkzkenomh</w:t>
      </w:r>
      <w:r>
        <w:t xml:space="preserve"> </w:t>
      </w:r>
      <w:r>
        <w:t xml:space="preserve">for the Bill of Materials (BOM), production energy usage, transport logistics, product lifespan,</w:t>
      </w:r>
      <w:r>
        <w:t xml:space="preserve"> </w:t>
      </w:r>
      <w:r>
        <w:t xml:space="preserve">energy consumption in use, recyclability, and circular programs. Secondary data, including</w:t>
      </w:r>
      <w:r>
        <w:t xml:space="preserve"> </w:t>
      </w:r>
      <w:r>
        <w:t xml:space="preserve">industry-average emission factors, were sourced from reputable databases</w:t>
      </w:r>
      <w:r>
        <w:t xml:space="preserve"> </w:t>
      </w:r>
      <w:r>
        <w:t xml:space="preserve">(e.g., Ecoinvent/DEFRA equivalents, IEA, GLEC) where specific primary data was unavailable.</w:t>
      </w:r>
    </w:p>
    <w:bookmarkStart w:id="26" w:name="detailed-bill-of-materials-bom-kepdmiws"/>
    <w:p>
      <w:pPr>
        <w:pStyle w:val="Heading3"/>
      </w:pPr>
      <w:r>
        <w:t xml:space="preserve">Detailed Bill of Materials (BOM): kepdmiws</w:t>
      </w:r>
    </w:p>
    <w:p>
      <w:pPr>
        <w:pStyle w:val="FirstParagraph"/>
      </w:pPr>
      <w:r>
        <w:t xml:space="preserve">The following detailed Bill of Materials (BOM) was used for high-accuracy material impact calculation: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</w:tr>
    </w:tbl>
    <w:p>
      <w:pPr>
        <w:pStyle w:val="BodyText"/>
      </w:pPr>
      <w:r>
        <w:t xml:space="preserve">Total product mass for one functional unit: 0.95 kg.</w:t>
      </w:r>
    </w:p>
    <w:bookmarkEnd w:id="26"/>
    <w:bookmarkStart w:id="27" w:name="energy-and-logistics-inputs"/>
    <w:p>
      <w:pPr>
        <w:pStyle w:val="Heading3"/>
      </w:pPr>
      <w:r>
        <w:t xml:space="preserve">Energy and Logistics Inputs: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frmirqshpo (60%)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sgergltsdx (15 kWh/unit)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 (Primary):</w:t>
      </w:r>
      <w:r>
        <w:t xml:space="preserve"> </w:t>
      </w:r>
      <w:r>
        <w:t xml:space="preserve">Select Mode (Road Freight (HGV &gt; 32t))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(Primary):</w:t>
      </w:r>
      <w:r>
        <w:t xml:space="preserve"> </w:t>
      </w:r>
      <w:r>
        <w:t xml:space="preserve">eijdoxmitn (1500 km)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(Parcel Delivery Van, assumed 50 km)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tqrgrnewsn (5 years)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hjooxzmdmf (10 kWh/year)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whwmjdirjv (80%)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zrttslptkj (Yes, Product Take-back Initiative)</w:t>
      </w:r>
    </w:p>
    <w:bookmarkEnd w:id="27"/>
    <w:bookmarkEnd w:id="28"/>
    <w:bookmarkStart w:id="29" w:name="Xb404f6bea4a0013006ec7a9103609d9ea6643c1"/>
    <w:p>
      <w:pPr>
        <w:pStyle w:val="Heading2"/>
      </w:pPr>
      <w:r>
        <w:t xml:space="preserve">1.4. Calculate Emissions (Activity * Emission Factor = CO2e)</w:t>
      </w:r>
    </w:p>
    <w:p>
      <w:pPr>
        <w:pStyle w:val="FirstParagraph"/>
      </w:pPr>
      <w:r>
        <w:t xml:space="preserve">Emissions for each lifecycle stage are calculated by multiplying activity data (e.g., kg of material, kWh of energy, km traveled)</w:t>
      </w:r>
      <w:r>
        <w:t xml:space="preserve"> </w:t>
      </w:r>
      <w:r>
        <w:t xml:space="preserve">by relevant emission factors (EFs). EFs represent the greenhouse gas emissions per unit of activity.</w:t>
      </w:r>
      <w:r>
        <w:t xml:space="preserve"> </w:t>
      </w:r>
      <w:r>
        <w:t xml:space="preserve">Industry-standard emission factors from recognized sources are applied.</w:t>
      </w:r>
    </w:p>
    <w:p>
      <w:pPr>
        <w:pStyle w:val="BodyText"/>
      </w:pPr>
      <w:r>
        <w:rPr>
          <w:bCs/>
          <w:b/>
        </w:rPr>
        <w:t xml:space="preserve">Key Emission Factors Used:</w:t>
      </w:r>
    </w:p>
    <w:p>
      <w:pPr>
        <w:numPr>
          <w:ilvl w:val="0"/>
          <w:numId w:val="1004"/>
        </w:numPr>
        <w:pStyle w:val="Compact"/>
      </w:pPr>
      <w:r>
        <w:t xml:space="preserve">China Grid Electricity Emission Factor (2023/2024): 0.581 kg CO2e/kWh</w:t>
      </w:r>
    </w:p>
    <w:p>
      <w:pPr>
        <w:numPr>
          <w:ilvl w:val="0"/>
          <w:numId w:val="1004"/>
        </w:numPr>
        <w:pStyle w:val="Compact"/>
      </w:pPr>
      <w:r>
        <w:t xml:space="preserve">Europe Average Grid Electricity Emission Factor (2024): 0.181 kg CO2e/kWh</w:t>
      </w:r>
    </w:p>
    <w:p>
      <w:pPr>
        <w:numPr>
          <w:ilvl w:val="0"/>
          <w:numId w:val="1004"/>
        </w:numPr>
        <w:pStyle w:val="Compact"/>
      </w:pPr>
      <w:r>
        <w:t xml:space="preserve">Road Freight (HGV &gt; 32t) Emission Factor: 0.027 kg CO2e/tonne-km (Well-to-Tank, Europe/South America)</w:t>
      </w:r>
    </w:p>
    <w:p>
      <w:pPr>
        <w:numPr>
          <w:ilvl w:val="0"/>
          <w:numId w:val="1004"/>
        </w:numPr>
        <w:pStyle w:val="Compact"/>
      </w:pPr>
      <w:r>
        <w:t xml:space="preserve">Parcel Delivery Van Emission Factor (allocated via mass-distance for consistency): 0.027 kg CO2e/tonne-km (simplified from HGV factor for consistency, actual van km factor is 0.25 kgCO2e/km which would yield a very high per-unit emission without load factor allocation)</w:t>
      </w:r>
    </w:p>
    <w:p>
      <w:pPr>
        <w:numPr>
          <w:ilvl w:val="0"/>
          <w:numId w:val="1004"/>
        </w:numPr>
        <w:pStyle w:val="Compact"/>
      </w:pPr>
      <w:r>
        <w:t xml:space="preserve">Recycling Credit (Metals/Plastics average): -2.0 kg CO2e/kg (simplified for mixed materials, actual values vary significantly)</w:t>
      </w:r>
    </w:p>
    <w:p>
      <w:pPr>
        <w:numPr>
          <w:ilvl w:val="0"/>
          <w:numId w:val="1004"/>
        </w:numPr>
        <w:pStyle w:val="Compact"/>
      </w:pPr>
      <w:r>
        <w:t xml:space="preserve">General Waste Disposal Emission Factor (Landfill/Incineration, placeholder): 0.5 kg CO2e/kg</w:t>
      </w:r>
    </w:p>
    <w:bookmarkEnd w:id="29"/>
    <w:bookmarkStart w:id="31" w:name="review-report"/>
    <w:p>
      <w:pPr>
        <w:pStyle w:val="Heading2"/>
      </w:pPr>
      <w:r>
        <w:t xml:space="preserve">1.5. Review &amp; Report</w:t>
      </w:r>
    </w:p>
    <w:p>
      <w:pPr>
        <w:pStyle w:val="FirstParagraph"/>
      </w:pPr>
      <w:r>
        <w:t xml:space="preserve">The results are reviewed to identify emission hotspots and assess data reliability. The report</w:t>
      </w:r>
      <w:r>
        <w:t xml:space="preserve"> </w:t>
      </w:r>
      <w:r>
        <w:t xml:space="preserve">aims to provide transparent insights into the product\'s environmental performance.</w:t>
      </w:r>
    </w:p>
    <w:bookmarkStart w:id="30" w:name="ghg-protocol-adherence"/>
    <w:p>
      <w:pPr>
        <w:pStyle w:val="Heading3"/>
      </w:pPr>
      <w:r>
        <w:t xml:space="preserve">GHG Protocol Adherence:</w:t>
      </w:r>
    </w:p>
    <w:p>
      <w:pPr>
        <w:pStyle w:val="FirstParagraph"/>
      </w:pPr>
      <w:r>
        <w:t xml:space="preserve">Emissions are meticulously categorized into Scope 1, Scope 2, and Scope 3 as per GHG Protocol requirements.</w:t>
      </w:r>
      <w:r>
        <w:t xml:space="preserve"> </w:t>
      </w:r>
      <w:r>
        <w:t xml:space="preserve">This ensures comprehensive reporting across direct operations and the entire value chain.</w:t>
      </w:r>
    </w:p>
    <w:p>
      <w:pPr>
        <w:pStyle w:val="BodyText"/>
      </w:pPr>
      <w:r>
        <w:rPr>
          <w:bCs/>
          <w:b/>
        </w:rPr>
        <w:t xml:space="preserve">2026 LSR UPDATE:</w:t>
      </w:r>
      <w:r>
        <w:t xml:space="preserve"> </w:t>
      </w:r>
      <w:r>
        <w:t xml:space="preserve">In line with the forthcoming Land Sector and Removals (LSR) Standard,</w:t>
      </w:r>
      <w:r>
        <w:t xml:space="preserve"> </w:t>
      </w:r>
      <w:r>
        <w:t xml:space="preserve">this analysis conceptually considers land-use impacts and potential carbon removals.</w:t>
      </w:r>
      <w:r>
        <w:t xml:space="preserve"> </w:t>
      </w:r>
      <w:r>
        <w:t xml:space="preserve">While specific data for LSR application is not provided for sikuxoturz, future iterations of this analysis</w:t>
      </w:r>
      <w:r>
        <w:t xml:space="preserve"> </w:t>
      </w:r>
      <w:r>
        <w:t xml:space="preserve">will incorporate detailed land-use change emissions and removals associated with raw material sourcing</w:t>
      </w:r>
      <w:r>
        <w:t xml:space="preserve"> </w:t>
      </w:r>
      <w:r>
        <w:t xml:space="preserve">and bio-based materials as per the 2026 requirements.</w:t>
      </w:r>
    </w:p>
    <w:p>
      <w:pPr>
        <w:pStyle w:val="BodyTex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The analysis aims for at least 95% coverage for Scope 3 reporting,</w:t>
      </w:r>
      <w:r>
        <w:t xml:space="preserve"> </w:t>
      </w:r>
      <w:r>
        <w:t xml:space="preserve">as per the stringent 2026 requirements, by incorporating detailed material, transport, use, and end-of-life data.</w:t>
      </w:r>
      <w:r>
        <w:t xml:space="preserve"> </w:t>
      </w:r>
      <w:r>
        <w:t xml:space="preserve">Any minor omissions are due to data limitations in placeholder parameters.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End w:id="32"/>
    <w:bookmarkStart w:id="38" w:name="X8f11751ce921701bcc8b9d1e04b5738855a660b"/>
    <w:p>
      <w:pPr>
        <w:pStyle w:val="Heading1"/>
      </w:pPr>
      <w:r>
        <w:t xml:space="preserve">2. Product Carbon Footprint Calculation and Analysis</w:t>
      </w:r>
    </w:p>
    <w:p>
      <w:pPr>
        <w:pStyle w:val="FirstParagraph"/>
      </w:pPr>
      <w:r>
        <w:t xml:space="preserve">The PCF for one functional unit of sikuxoturz is calculated across its lifecycle stages:</w:t>
      </w:r>
    </w:p>
    <w:bookmarkStart w:id="33" w:name="X1198c8af25dd1a2ebffa686809674f976343a37"/>
    <w:p>
      <w:pPr>
        <w:pStyle w:val="Heading2"/>
      </w:pPr>
      <w:r>
        <w:t xml:space="preserve">2.1. Material Acquisition &amp; Pre-processing (Scope 3 - Upstream)</w:t>
      </w:r>
    </w:p>
    <w:p>
      <w:pPr>
        <w:pStyle w:val="FirstParagraph"/>
      </w:pPr>
      <w:r>
        <w:t xml:space="preserve">This stage accounts for the emissions embedded in the raw materials and components used to manufacture sikuxoturz.</w:t>
      </w:r>
    </w:p>
    <w:p>
      <w:pPr>
        <w:numPr>
          <w:ilvl w:val="0"/>
          <w:numId w:val="1005"/>
        </w:numPr>
        <w:pStyle w:val="Compact"/>
      </w:pPr>
      <w:r>
        <w:t xml:space="preserve">Total Material Carbon from BOM (kepdmiws): 1.25 (Aluminum) + 0.90 (Plastic) + 1.50 (Circuit Board) + 0.25 (Copper) = 3.90 kg CO2e.</w:t>
      </w:r>
    </w:p>
    <w:p>
      <w:pPr>
        <w:pStyle w:val="FirstParagraph"/>
      </w:pPr>
      <w:r>
        <w:rPr>
          <w:bCs/>
          <w:b/>
        </w:rPr>
        <w:t xml:space="preserve">Material Impact: 3.90 kg CO2e</w:t>
      </w:r>
    </w:p>
    <w:bookmarkEnd w:id="33"/>
    <w:bookmarkStart w:id="34" w:name="production-phase-scope-2"/>
    <w:p>
      <w:pPr>
        <w:pStyle w:val="Heading2"/>
      </w:pPr>
      <w:r>
        <w:t xml:space="preserve">2.2. Production Phase (Scope 2)</w:t>
      </w:r>
    </w:p>
    <w:p>
      <w:pPr>
        <w:pStyle w:val="FirstParagraph"/>
      </w:pPr>
      <w:r>
        <w:t xml:space="preserve">This covers the electricity consumption during the manufacturing process at</w:t>
      </w:r>
      <w:r>
        <w:t xml:space="preserve"> </w:t>
      </w:r>
      <w:r>
        <w:rPr>
          <w:bCs/>
          <w:b/>
        </w:rPr>
        <w:t xml:space="preserve">jrkzkenomh</w:t>
      </w:r>
      <w:r>
        <w:t xml:space="preserve">\'s facility in China.</w:t>
      </w:r>
    </w:p>
    <w:p>
      <w:pPr>
        <w:numPr>
          <w:ilvl w:val="0"/>
          <w:numId w:val="1006"/>
        </w:numPr>
        <w:pStyle w:val="Compact"/>
      </w:pPr>
      <w:r>
        <w:t xml:space="preserve">Energy Intensity: 15 kWh/unit [cite: sgergltsdx (parameter)]</w:t>
      </w:r>
    </w:p>
    <w:p>
      <w:pPr>
        <w:numPr>
          <w:ilvl w:val="0"/>
          <w:numId w:val="1006"/>
        </w:numPr>
        <w:pStyle w:val="Compact"/>
      </w:pPr>
      <w:r>
        <w:t xml:space="preserve">Renewable Energy Usage: 60% [cite: frmirqshpo (parameter)]</w:t>
      </w:r>
    </w:p>
    <w:p>
      <w:pPr>
        <w:numPr>
          <w:ilvl w:val="0"/>
          <w:numId w:val="1006"/>
        </w:numPr>
        <w:pStyle w:val="Compact"/>
      </w:pPr>
      <w:r>
        <w:t xml:space="preserve">Non-renewable electricity consumption: 15 kWh/unit * (1 - 0.60) = 6 kWh/unit</w:t>
      </w:r>
    </w:p>
    <w:p>
      <w:pPr>
        <w:numPr>
          <w:ilvl w:val="0"/>
          <w:numId w:val="1006"/>
        </w:numPr>
        <w:pStyle w:val="Compact"/>
      </w:pPr>
      <w:r>
        <w:t xml:space="preserve">China Grid Electricity Emission Factor: 0.581 kg CO2e/kWh</w:t>
      </w:r>
    </w:p>
    <w:p>
      <w:pPr>
        <w:numPr>
          <w:ilvl w:val="0"/>
          <w:numId w:val="1006"/>
        </w:numPr>
        <w:pStyle w:val="Compact"/>
      </w:pPr>
      <w:r>
        <w:t xml:space="preserve">Production Emissions (Scope 2): 6 kWh/unit * 0.581 kg CO2e/kWh = 3.486 kg CO2e/unit</w:t>
      </w:r>
    </w:p>
    <w:p>
      <w:pPr>
        <w:pStyle w:val="FirstParagraph"/>
      </w:pPr>
      <w:r>
        <w:rPr>
          <w:bCs/>
          <w:b/>
        </w:rPr>
        <w:t xml:space="preserve">Production Emissions: 3.49 kg CO2e</w:t>
      </w:r>
    </w:p>
    <w:bookmarkEnd w:id="34"/>
    <w:bookmarkStart w:id="35" w:name="X3793f47c90058aa318323ddd66352ef2ed2afd7"/>
    <w:p>
      <w:pPr>
        <w:pStyle w:val="Heading2"/>
      </w:pPr>
      <w:r>
        <w:t xml:space="preserve">2.3. Transport &amp; Distribution (Scope 3 - Upstream/Downstream)</w:t>
      </w:r>
    </w:p>
    <w:p>
      <w:pPr>
        <w:pStyle w:val="FirstParagraph"/>
      </w:pPr>
      <w:r>
        <w:t xml:space="preserve">This includes emissions from transporting materials to the factory and the finished product to the customer.</w:t>
      </w:r>
    </w:p>
    <w:p>
      <w:pPr>
        <w:numPr>
          <w:ilvl w:val="0"/>
          <w:numId w:val="1007"/>
        </w:numPr>
        <w:pStyle w:val="Compact"/>
      </w:pPr>
      <w:r>
        <w:t xml:space="preserve">Total Product Mass: 0.95 kg</w:t>
      </w:r>
    </w:p>
    <w:p>
      <w:pPr>
        <w:numPr>
          <w:ilvl w:val="0"/>
          <w:numId w:val="1007"/>
        </w:numPr>
        <w:pStyle w:val="Compact"/>
      </w:pPr>
      <w:r>
        <w:t xml:space="preserve">Primary Transport (Factory to Distribution Hub, e.g., in Europe):</w:t>
      </w:r>
    </w:p>
    <w:p>
      <w:pPr>
        <w:numPr>
          <w:ilvl w:val="1"/>
          <w:numId w:val="1008"/>
        </w:numPr>
        <w:pStyle w:val="Compact"/>
      </w:pPr>
      <w:r>
        <w:t xml:space="preserve">Mode: Road Freight (HGV &gt; 32t) [cite: Select Mode (parameter)]</w:t>
      </w:r>
    </w:p>
    <w:p>
      <w:pPr>
        <w:numPr>
          <w:ilvl w:val="1"/>
          <w:numId w:val="1008"/>
        </w:numPr>
        <w:pStyle w:val="Compact"/>
      </w:pPr>
      <w:r>
        <w:t xml:space="preserve">Distance: 1500 km [cite: eijdoxmitn (parameter)]</w:t>
      </w:r>
    </w:p>
    <w:p>
      <w:pPr>
        <w:numPr>
          <w:ilvl w:val="1"/>
          <w:numId w:val="1008"/>
        </w:numPr>
        <w:pStyle w:val="Compact"/>
      </w:pPr>
      <w:r>
        <w:t xml:space="preserve">Emission Factor: 0.027 kg CO2e/tonne-km</w:t>
      </w:r>
    </w:p>
    <w:p>
      <w:pPr>
        <w:numPr>
          <w:ilvl w:val="1"/>
          <w:numId w:val="1008"/>
        </w:numPr>
        <w:pStyle w:val="Compact"/>
      </w:pPr>
      <w:r>
        <w:t xml:space="preserve">Primary Transport Emissions: (0.95 kg / 1000 kg/tonne) * 1500 km * 0.027 kg CO2e/tonne-km = 0.038 kg CO2e/unit</w:t>
      </w:r>
    </w:p>
    <w:p>
      <w:pPr>
        <w:numPr>
          <w:ilvl w:val="0"/>
          <w:numId w:val="1007"/>
        </w:numPr>
        <w:pStyle w:val="Compact"/>
      </w:pPr>
      <w:r>
        <w:t xml:space="preserve">Last-Mile Delivery (Distribution Hub to Customer):</w:t>
      </w:r>
    </w:p>
    <w:p>
      <w:pPr>
        <w:numPr>
          <w:ilvl w:val="1"/>
          <w:numId w:val="1009"/>
        </w:numPr>
        <w:pStyle w:val="Compact"/>
      </w:pPr>
      <w:r>
        <w:t xml:space="preserve">Channel: Parcel Delivery Van [cite: Delivery Type (parameter)]</w:t>
      </w:r>
    </w:p>
    <w:p>
      <w:pPr>
        <w:numPr>
          <w:ilvl w:val="1"/>
          <w:numId w:val="1009"/>
        </w:numPr>
        <w:pStyle w:val="Compact"/>
      </w:pPr>
      <w:r>
        <w:t xml:space="preserve">Assumed Distance: 50 km</w:t>
      </w:r>
    </w:p>
    <w:p>
      <w:pPr>
        <w:numPr>
          <w:ilvl w:val="1"/>
          <w:numId w:val="1009"/>
        </w:numPr>
        <w:pStyle w:val="Compact"/>
      </w:pPr>
      <w:r>
        <w:t xml:space="preserve">Emission Factor (allocated via mass-distance for consistency with primary transport): (0.95 kg / 1000 kg/tonne) * 50 km * 0.027 kg CO2e/tonne-km = 0.001 kg CO2e/unit</w:t>
      </w:r>
    </w:p>
    <w:p>
      <w:pPr>
        <w:numPr>
          <w:ilvl w:val="1"/>
          <w:numId w:val="1009"/>
        </w:numPr>
        <w:pStyle w:val="Compact"/>
      </w:pPr>
      <w:r>
        <w:rPr>
          <w:iCs/>
          <w:i/>
        </w:rPr>
        <w:t xml:space="preserve">Note: Using a direct van emission factor of 0.25 kg CO2e/km for 50 km would result in 12.5 kg CO2e/unit, which is typically allocated over multiple parcels. For this PCF, a mass-distance factor is applied for better per-unit attribution.</w:t>
      </w:r>
    </w:p>
    <w:p>
      <w:pPr>
        <w:pStyle w:val="FirstParagraph"/>
      </w:pPr>
      <w:r>
        <w:rPr>
          <w:bCs/>
          <w:b/>
        </w:rPr>
        <w:t xml:space="preserve">Total Transport &amp; Distribution Emissions: 0.04 kg CO2e</w:t>
      </w:r>
    </w:p>
    <w:bookmarkEnd w:id="35"/>
    <w:bookmarkStart w:id="36" w:name="use-phase-scope-3---downstream"/>
    <w:p>
      <w:pPr>
        <w:pStyle w:val="Heading2"/>
      </w:pPr>
      <w:r>
        <w:t xml:space="preserve">2.4. Use Phase (Scope 3 - Downstream)</w:t>
      </w:r>
    </w:p>
    <w:p>
      <w:pPr>
        <w:pStyle w:val="FirstParagraph"/>
      </w:pPr>
      <w:r>
        <w:t xml:space="preserve">This stage accounts for the electricity consumed by the product during its operational lifespan.</w:t>
      </w:r>
    </w:p>
    <w:p>
      <w:pPr>
        <w:numPr>
          <w:ilvl w:val="0"/>
          <w:numId w:val="1010"/>
        </w:numPr>
        <w:pStyle w:val="Compact"/>
      </w:pPr>
      <w:r>
        <w:t xml:space="preserve">Product Lifespan: 5 years [cite: tqrgrnewsn (parameter)]</w:t>
      </w:r>
    </w:p>
    <w:p>
      <w:pPr>
        <w:numPr>
          <w:ilvl w:val="0"/>
          <w:numId w:val="1010"/>
        </w:numPr>
        <w:pStyle w:val="Compact"/>
      </w:pPr>
      <w:r>
        <w:t xml:space="preserve">Energy Consumption in Use: 10 kWh/year [cite: hjooxzmdmf (parameter)]</w:t>
      </w:r>
    </w:p>
    <w:p>
      <w:pPr>
        <w:numPr>
          <w:ilvl w:val="0"/>
          <w:numId w:val="1010"/>
        </w:numPr>
        <w:pStyle w:val="Compact"/>
      </w:pPr>
      <w:r>
        <w:t xml:space="preserve">Total Energy in Use: 10 kWh/year * 5 years = 50 kWh/unit</w:t>
      </w:r>
    </w:p>
    <w:p>
      <w:pPr>
        <w:numPr>
          <w:ilvl w:val="0"/>
          <w:numId w:val="1010"/>
        </w:numPr>
        <w:pStyle w:val="Compact"/>
      </w:pPr>
      <w:r>
        <w:t xml:space="preserve">Geographic Scope (Use Phase): Europe Focused (assuming product is used in Europe)</w:t>
      </w:r>
    </w:p>
    <w:p>
      <w:pPr>
        <w:numPr>
          <w:ilvl w:val="0"/>
          <w:numId w:val="1010"/>
        </w:numPr>
        <w:pStyle w:val="Compact"/>
      </w:pPr>
      <w:r>
        <w:t xml:space="preserve">Europe Average Grid Electricity Emission Factor: 0.181 kg CO2e/kWh</w:t>
      </w:r>
    </w:p>
    <w:p>
      <w:pPr>
        <w:numPr>
          <w:ilvl w:val="0"/>
          <w:numId w:val="1010"/>
        </w:numPr>
        <w:pStyle w:val="Compact"/>
      </w:pPr>
      <w:r>
        <w:t xml:space="preserve">Use Phase Emissions: 50 kWh/unit * 0.181 kg CO2e/kWh = 9.05 kg CO2e/unit</w:t>
      </w:r>
    </w:p>
    <w:p>
      <w:pPr>
        <w:pStyle w:val="FirstParagraph"/>
      </w:pPr>
      <w:r>
        <w:rPr>
          <w:bCs/>
          <w:b/>
        </w:rPr>
        <w:t xml:space="preserve">Use Phase Emissions: 9.05 kg CO2e</w:t>
      </w:r>
    </w:p>
    <w:bookmarkEnd w:id="36"/>
    <w:bookmarkStart w:id="37" w:name="X92fbc61eed99b9d9aafbebcbbd2c7ad7660f7e4"/>
    <w:p>
      <w:pPr>
        <w:pStyle w:val="Heading2"/>
      </w:pPr>
      <w:r>
        <w:t xml:space="preserve">2.5. End-of-Life (EoL) Phase (Scope 3 - Downstream)</w:t>
      </w:r>
    </w:p>
    <w:p>
      <w:pPr>
        <w:pStyle w:val="FirstParagraph"/>
      </w:pPr>
      <w:r>
        <w:t xml:space="preserve">This stage considers the emissions or credits associated with the product\'s disposal or recycling.</w:t>
      </w:r>
    </w:p>
    <w:p>
      <w:pPr>
        <w:numPr>
          <w:ilvl w:val="0"/>
          <w:numId w:val="1011"/>
        </w:numPr>
        <w:pStyle w:val="Compact"/>
      </w:pPr>
      <w:r>
        <w:t xml:space="preserve">Total Product Mass: 0.95 kg</w:t>
      </w:r>
    </w:p>
    <w:p>
      <w:pPr>
        <w:numPr>
          <w:ilvl w:val="0"/>
          <w:numId w:val="1011"/>
        </w:numPr>
        <w:pStyle w:val="Compact"/>
      </w:pPr>
      <w:r>
        <w:t xml:space="preserve">Recyclability Percentage: 80% [cite: whwmjdirjv (parameter)]</w:t>
      </w:r>
    </w:p>
    <w:p>
      <w:pPr>
        <w:numPr>
          <w:ilvl w:val="0"/>
          <w:numId w:val="1011"/>
        </w:numPr>
        <w:pStyle w:val="Compact"/>
      </w:pPr>
      <w:r>
        <w:t xml:space="preserve">Circular/Take-back Programs: Yes, Product Take-back Initiative [cite: zrttslptkj (parameter)]</w:t>
      </w:r>
    </w:p>
    <w:p>
      <w:pPr>
        <w:numPr>
          <w:ilvl w:val="0"/>
          <w:numId w:val="1011"/>
        </w:numPr>
        <w:pStyle w:val="Compact"/>
      </w:pPr>
      <w:r>
        <w:t xml:space="preserve">Mass Recycled: 0.95 kg * 0.80 = 0.76 kg</w:t>
      </w:r>
    </w:p>
    <w:p>
      <w:pPr>
        <w:numPr>
          <w:ilvl w:val="0"/>
          <w:numId w:val="1011"/>
        </w:numPr>
        <w:pStyle w:val="Compact"/>
      </w:pPr>
      <w:r>
        <w:t xml:space="preserve">Mass Disposed: 0.95 kg * 0.20 = 0.19 kg</w:t>
      </w:r>
    </w:p>
    <w:p>
      <w:pPr>
        <w:numPr>
          <w:ilvl w:val="0"/>
          <w:numId w:val="1011"/>
        </w:numPr>
        <w:pStyle w:val="Compact"/>
      </w:pPr>
      <w:r>
        <w:t xml:space="preserve">Recycling Credit (for 0.76 kg of mixed materials): 0.76 kg * -2.0 kg CO2e/kg = -1.52 kg CO2e (negative indicates avoided emissions)</w:t>
      </w:r>
    </w:p>
    <w:p>
      <w:pPr>
        <w:numPr>
          <w:ilvl w:val="0"/>
          <w:numId w:val="1011"/>
        </w:numPr>
        <w:pStyle w:val="Compact"/>
      </w:pPr>
      <w:r>
        <w:t xml:space="preserve">Disposal Emissions (for 0.19 kg disposed): 0.19 kg * 0.5 kg CO2e/kg = 0.095 kg CO2e</w:t>
      </w:r>
    </w:p>
    <w:p>
      <w:pPr>
        <w:numPr>
          <w:ilvl w:val="0"/>
          <w:numId w:val="1011"/>
        </w:numPr>
        <w:pStyle w:val="Compact"/>
      </w:pPr>
      <w:r>
        <w:t xml:space="preserve">Net EoL Emissions: 0.095 kg CO2e - 1.52 kg CO2e = -1.425 kg CO2e/unit</w:t>
      </w:r>
    </w:p>
    <w:p>
      <w:pPr>
        <w:pStyle w:val="FirstParagraph"/>
      </w:pPr>
      <w:r>
        <w:rPr>
          <w:bCs/>
          <w:b/>
        </w:rPr>
        <w:t xml:space="preserve">Net End-of-Life Emissions: -1.43 kg CO2e</w:t>
      </w:r>
      <w:r>
        <w:t xml:space="preserve"> </w:t>
      </w:r>
      <w:r>
        <w:t xml:space="preserve">(net carbon benefit)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0" w:name="overall-product-carbon-footprint-summary"/>
    <w:p>
      <w:pPr>
        <w:pStyle w:val="Heading1"/>
      </w:pPr>
      <w:r>
        <w:t xml:space="preserve">3. Overall Product Carbon Footprint Summary</w:t>
      </w:r>
    </w:p>
    <w:p>
      <w:pPr>
        <w:pStyle w:val="FirstParagraph"/>
      </w:pPr>
      <w:r>
        <w:t xml:space="preserve">The total Product Carbon Footprint for one functional unit of</w:t>
      </w:r>
      <w:r>
        <w:t xml:space="preserve"> </w:t>
      </w:r>
      <w:r>
        <w:rPr>
          <w:bCs/>
          <w:b/>
        </w:rPr>
        <w:t xml:space="preserve">sikuxoturz</w:t>
      </w:r>
      <w:r>
        <w:t xml:space="preserve"> </w:t>
      </w:r>
      <w:r>
        <w:t xml:space="preserve">is summarized below: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CO2e (kg per functional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27.76%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Production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3.49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24.84%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(Upstream/Downstream)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64.41%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Phase (Net)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(Downstream)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-1.43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-10.18%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PRODUCT CARBON FOOTPRINT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15.05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100.00%</w:t>
            </w:r>
          </w:p>
        </w:tc>
      </w:tr>
    </w:tbl>
    <w:p>
      <w:pPr>
        <w:pStyle w:val="BodyText"/>
      </w:pPr>
      <w:r>
        <w:t xml:space="preserve">The total Product Carbon Footprint for one functional unit of sikuxoturz is</w:t>
      </w:r>
      <w:r>
        <w:t xml:space="preserve"> </w:t>
      </w:r>
      <w:r>
        <w:rPr>
          <w:bCs/>
          <w:b/>
        </w:rPr>
        <w:t xml:space="preserve">15.05 kg CO2e</w:t>
      </w:r>
      <w:r>
        <w:t xml:space="preserve">.</w:t>
      </w:r>
    </w:p>
    <w:bookmarkStart w:id="39" w:name="identified-hotspots-and-reliability"/>
    <w:p>
      <w:pPr>
        <w:pStyle w:val="Heading2"/>
      </w:pPr>
      <w:r>
        <w:t xml:space="preserve">3.1. Identified Hotspots and Reliability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This phase is identified as the most significant hotspot, contributing 64.41% of the total PCF. This is primarily due to the product\'s energy consumption over its 5-year lifespan and the assumed grid electricity mix in Europe.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Material Acquisition &amp; Pre-processing:</w:t>
      </w:r>
      <w:r>
        <w:t xml:space="preserve"> </w:t>
      </w:r>
      <w:r>
        <w:t xml:space="preserve">The materials, particularly the Circuit Board and Aluminum Casing, contribute substantially (27.76%) to the upfront emissions.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Production Phase:</w:t>
      </w:r>
      <w:r>
        <w:t xml:space="preserve"> </w:t>
      </w:r>
      <w:r>
        <w:t xml:space="preserve">While located in China with a relatively carbon-intensive grid, the 60% renewable energy usage significantly mitigates emissions in this phase (24.84%).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Transport &amp; Distribution:</w:t>
      </w:r>
      <w:r>
        <w:t xml:space="preserve"> </w:t>
      </w:r>
      <w:r>
        <w:t xml:space="preserve">Represents a minor portion (0.28%) of the total footprint, indicating relatively efficient logistics or low-mass product.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End-of-Life:</w:t>
      </w:r>
      <w:r>
        <w:t xml:space="preserve"> </w:t>
      </w:r>
      <w:r>
        <w:t xml:space="preserve">The high recyclability (80%) and the presence of take-back programs result in a net carbon benefit, highlighting the positive impact of circular economy initiatives.</w:t>
      </w:r>
    </w:p>
    <w:p>
      <w:pPr>
        <w:pStyle w:val="FirstParagraph"/>
      </w:pPr>
      <w:r>
        <w:rPr>
          <w:bCs/>
          <w:b/>
        </w:rPr>
        <w:t xml:space="preserve">Data Reliability:</w:t>
      </w:r>
      <w:r>
        <w:t xml:space="preserve"> </w:t>
      </w:r>
      <w:r>
        <w:t xml:space="preserve">The reliability of this report is high for the parameters directly provided.</w:t>
      </w:r>
      <w:r>
        <w:t xml:space="preserve"> </w:t>
      </w:r>
      <w:r>
        <w:t xml:space="preserve">Emission factors are sourced from recognized databases or calculated based on industry-standard methodologies.</w:t>
      </w:r>
      <w:r>
        <w:t xml:space="preserve"> </w:t>
      </w:r>
      <w:r>
        <w:t xml:space="preserve">Assumptions for placeholder values (e.g., specific last-mile distance, general recycling credit) are clearly stated</w:t>
      </w:r>
      <w:r>
        <w:t xml:space="preserve"> </w:t>
      </w:r>
      <w:r>
        <w:t xml:space="preserve">and represent reasonable estimates where specific primary data was not available.</w:t>
      </w:r>
      <w:r>
        <w:t xml:space="preserve"> </w:t>
      </w:r>
      <w:r>
        <w:t xml:space="preserve">For enhanced accuracy, further primary data collection for specific supply chain emission factors would be beneficial.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1" w:name="recommendations-for-decarbonization"/>
    <w:p>
      <w:pPr>
        <w:pStyle w:val="Heading1"/>
      </w:pPr>
      <w:r>
        <w:t xml:space="preserve">4. Recommendations for Decarbonization</w:t>
      </w:r>
    </w:p>
    <w:p>
      <w:pPr>
        <w:pStyle w:val="FirstParagraph"/>
      </w:pPr>
      <w:r>
        <w:t xml:space="preserve">Based on this PCF analysis,</w:t>
      </w:r>
      <w:r>
        <w:t xml:space="preserve"> </w:t>
      </w:r>
      <w:r>
        <w:rPr>
          <w:bCs/>
          <w:b/>
        </w:rPr>
        <w:t xml:space="preserve">jrkzkenomh</w:t>
      </w:r>
      <w:r>
        <w:t xml:space="preserve"> </w:t>
      </w:r>
      <w:r>
        <w:t xml:space="preserve">can focus on the following areas to reduce the carbon footprint of</w:t>
      </w:r>
      <w:r>
        <w:t xml:space="preserve"> </w:t>
      </w:r>
      <w:r>
        <w:rPr>
          <w:bCs/>
          <w:b/>
        </w:rPr>
        <w:t xml:space="preserve">sikuxoturz</w:t>
      </w:r>
      <w:r>
        <w:t xml:space="preserve">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Optimize Use Phase Efficiency:</w:t>
      </w:r>
      <w:r>
        <w:t xml:space="preserve"> </w:t>
      </w:r>
      <w:r>
        <w:t xml:space="preserve">Invest in R&amp;D to significantly reduce the product\'s energy consumption during its use phase. Explore lower power components, introduce energy-saving modes, or improve overall energy efficiency.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Promote Renewable Energy Adoption in Use:</w:t>
      </w:r>
      <w:r>
        <w:t xml:space="preserve"> </w:t>
      </w:r>
      <w:r>
        <w:t xml:space="preserve">Encourage end-users to power the product with renewable electricity where possible, perhaps through partnerships or education campaigns.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Investigate alternative, lower-carbon materials for the Circuit Board and Aluminum Casing. Explore options with higher recycled content (beyond current inputs) or bio-based alternatives, considering their full lifecycle impacts and the 2026 LSR Standard.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Enhance Circularity:</w:t>
      </w:r>
      <w:r>
        <w:t xml:space="preserve"> </w:t>
      </w:r>
      <w:r>
        <w:t xml:space="preserve">Continue to strengthen existing take-back programs and explore innovative circular business models to increase actual recycling rates beyond 80% and investigate opportunities for product refurbishment or reuse.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Collaborate with suppliers to identify and implement further emission reduction opportunities in material production and transportation, especially for high-impact components.</w:t>
      </w:r>
    </w:p>
    <w:p>
      <w:r>
        <w:pict>
          <v:rect style="width:0;height:1.5pt" o:hralign="center" o:hrstd="t" o:hr="t"/>
        </w:pict>
      </w:r>
    </w:p>
    <w:bookmarkEnd w:id="41"/>
    <w:bookmarkStart w:id="42" w:name="conclusion"/>
    <w:p>
      <w:pPr>
        <w:pStyle w:val="Heading1"/>
      </w:pPr>
      <w:r>
        <w:t xml:space="preserve">Conclusion</w:t>
      </w:r>
    </w:p>
    <w:p>
      <w:pPr>
        <w:pStyle w:val="FirstParagraph"/>
      </w:pPr>
      <w:r>
        <w:t xml:space="preserve">This high-detail Product Carbon Footprint analysis provides</w:t>
      </w:r>
      <w:r>
        <w:t xml:space="preserve"> </w:t>
      </w:r>
      <w:r>
        <w:rPr>
          <w:bCs/>
          <w:b/>
        </w:rPr>
        <w:t xml:space="preserve">jrkzkenomh</w:t>
      </w:r>
      <w:r>
        <w:t xml:space="preserve"> </w:t>
      </w:r>
      <w:r>
        <w:t xml:space="preserve">with a comprehensive</w:t>
      </w:r>
      <w:r>
        <w:t xml:space="preserve"> </w:t>
      </w:r>
      <w:r>
        <w:t xml:space="preserve">understanding of the environmental impact of</w:t>
      </w:r>
      <w:r>
        <w:t xml:space="preserve"> </w:t>
      </w:r>
      <w:r>
        <w:rPr>
          <w:bCs/>
          <w:b/>
        </w:rPr>
        <w:t xml:space="preserve">sikuxoturz</w:t>
      </w:r>
      <w:r>
        <w:t xml:space="preserve">. By adhering to the GHG Protocol,</w:t>
      </w:r>
      <w:r>
        <w:t xml:space="preserve"> </w:t>
      </w:r>
      <w:r>
        <w:t xml:space="preserve">including considerations for the 2026 LSR Update and ensuring robust Scope 3 coverage, this report</w:t>
      </w:r>
      <w:r>
        <w:t xml:space="preserve"> </w:t>
      </w:r>
      <w:r>
        <w:t xml:space="preserve">serves as a critical tool for strategic sustainability planning. The identified hotspots offer clear</w:t>
      </w:r>
      <w:r>
        <w:t xml:space="preserve"> </w:t>
      </w:r>
      <w:r>
        <w:t xml:space="preserve">pathways for targeted emission reduction initiatives, enabling</w:t>
      </w:r>
      <w:r>
        <w:t xml:space="preserve"> </w:t>
      </w:r>
      <w:r>
        <w:rPr>
          <w:bCs/>
          <w:b/>
        </w:rPr>
        <w:t xml:space="preserve">jrkzkenomh</w:t>
      </w:r>
      <w:r>
        <w:t xml:space="preserve"> </w:t>
      </w:r>
      <w:r>
        <w:t xml:space="preserve">to drive</w:t>
      </w:r>
      <w:r>
        <w:t xml:space="preserve"> </w:t>
      </w:r>
      <w:r>
        <w:t xml:space="preserve">meaningful decarbonization throughout the product\'s lifecycle.</w:t>
      </w:r>
    </w:p>
    <w:p>
      <w:pPr>
        <w:pStyle w:val="BodyText"/>
      </w:pPr>
      <w:r>
        <w:t xml:space="preserve">Confidential - Internal Use Only | Page</w:t>
      </w:r>
      <w:r>
        <w:t xml:space="preserve"> </w:t>
      </w:r>
    </w:p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ghgprotocol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ghgprotocol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sikuxoturz</dc:title>
  <dc:creator/>
  <dc:description>High-detail Product Carbon Footprint (PCF) analysis for sikuxoturz, performed by tlgvwydslg, Senior Sustainability Consultant at jrkzkenomh, adhering to GHG Protocol and 2026 LSR standards.</dc:description>
  <dc:language>en</dc:language>
  <cp:keywords/>
  <dcterms:created xsi:type="dcterms:W3CDTF">2026-07-14T23:51:53Z</dcterms:created>
  <dcterms:modified xsi:type="dcterms:W3CDTF">2026-07-14T23:51:53Z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