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siezxhtopw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siezxhtopw</w:t>
      </w:r>
    </w:p>
    <w:p>
      <w:pPr>
        <w:pStyle w:val="BodyText"/>
      </w:pPr>
      <w:r>
        <w:rPr>
          <w:bCs/>
          <w:b/>
        </w:rPr>
        <w:t xml:space="preserve">Company Name:</w:t>
      </w:r>
      <w:r>
        <w:t xml:space="preserve"> </w:t>
      </w:r>
      <w:r>
        <w:t xml:space="preserve">mrxzpoojfe</w:t>
      </w:r>
    </w:p>
    <w:p>
      <w:pPr>
        <w:pStyle w:val="BodyText"/>
      </w:pPr>
      <w:r>
        <w:rPr>
          <w:bCs/>
          <w:b/>
        </w:rPr>
        <w:t xml:space="preserve">Senior Sustainability Consultant:</w:t>
      </w:r>
      <w:r>
        <w:t xml:space="preserve"> </w:t>
      </w:r>
      <w:r>
        <w:t xml:space="preserve">zishmjgtwf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certain assumptions and illustrative data points have been used where specific primary data was unavailable, as indicated throughout the report. Actual emissions may vary.</w:t>
      </w:r>
    </w:p>
    <w:bookmarkEnd w:id="20"/>
    <w:bookmarkStart w:id="53"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bookmarkStart w:id="21" w:name="product-siezxhtopw"/>
    <w:p>
      <w:pPr>
        <w:pStyle w:val="Heading2"/>
      </w:pPr>
      <w:r>
        <w:t xml:space="preserve">Product: siezxhtopw</w:t>
      </w:r>
    </w:p>
    <w:bookmarkEnd w:id="21"/>
    <w:bookmarkStart w:id="22" w:name="company-mrxzpoojfe"/>
    <w:p>
      <w:pPr>
        <w:pStyle w:val="Heading2"/>
      </w:pPr>
      <w:r>
        <w:t xml:space="preserve">Company: mrxzpoojfe</w:t>
      </w:r>
    </w:p>
    <w:bookmarkEnd w:id="22"/>
    <w:bookmarkStart w:id="23" w:name="Xeb14912701269dda221474a3cb8701e93ff3c43"/>
    <w:p>
      <w:pPr>
        <w:pStyle w:val="Heading2"/>
      </w:pPr>
      <w:r>
        <w:t xml:space="preserve">Senior Sustainability Consultant: zishmjgtwf</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"siezxhtopw" manufactured by "mrxzpoojfe". Conducted by Senior Sustainability Consultant zishmjgtwf, this analysis adheres to the Greenhouse Gas (GHG) Protocol\'s Corporate Accounting and Reporting Standard and Product Standard, incorporating the latest 2026 Land Sector and Removals (LSR) Standard updates where applicable. The PCF quantifies the total greenhouse gas emissions (expressed in kgCO2e) across the product\'s lifecycle, from raw material acquisition to end-of-life, providing critical insights into environmental impacts and identifying emission hotspots. The system boundary for this analysis is "cradle-to-gate-to-grave", covering upstream, core, and downstream processes, with a supply chain focus on Europe and final production in China.</w:t>
      </w:r>
    </w:p>
    <w:p>
      <w:r>
        <w:pict>
          <v:rect style="width:0;height:1.5pt" o:hralign="center" o:hrstd="t" o:hr="t"/>
        </w:pict>
      </w:r>
    </w:p>
    <w:bookmarkEnd w:id="24"/>
    <w:bookmarkStart w:id="30" w:name="defining-the-scope-of-analysis"/>
    <w:p>
      <w:pPr>
        <w:pStyle w:val="Heading2"/>
      </w:pPr>
      <w:r>
        <w:t xml:space="preserve">1. Defining the Scope of Analysis</w:t>
      </w:r>
    </w:p>
    <w:bookmarkStart w:id="25"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siezxhtopw. This unit serves as the reference basis for quantifying all associated environmental impacts throughout the product\'s lifecycle, ensuring comparability and consistency in the assessment.</w:t>
      </w:r>
    </w:p>
    <w:bookmarkEnd w:id="25"/>
    <w:bookmarkStart w:id="26" w:name="system-boundary"/>
    <w:p>
      <w:pPr>
        <w:pStyle w:val="Heading3"/>
      </w:pPr>
      <w:r>
        <w:t xml:space="preserve">System Boundary:</w:t>
      </w:r>
    </w:p>
    <w:p>
      <w:pPr>
        <w:pStyle w:val="FirstParagraph"/>
      </w:pPr>
      <w:r>
        <w:t xml:space="preserve">The system boundary for this PCF follows a "cradle-to-gate-to-grave" approach, encompassing all stages from raw material extraction and processing, through manufacturing (factory_gate), distribution, use, and finally, end-of-life treatment. This comprehensive boundary ensures that all significant direct and indirect emissions associated with the product are captured.</w:t>
      </w:r>
    </w:p>
    <w:bookmarkEnd w:id="26"/>
    <w:bookmarkStart w:id="27"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be global average consumption and disposal patterns, reflecting the potential distribution and user base.</w:t>
      </w:r>
    </w:p>
    <w:bookmarkEnd w:id="27"/>
    <w:bookmarkStart w:id="28" w:name="accounting-standard"/>
    <w:p>
      <w:pPr>
        <w:pStyle w:val="Heading3"/>
      </w:pPr>
      <w:r>
        <w:t xml:space="preserve">Accounting Standard:</w:t>
      </w:r>
    </w:p>
    <w:p>
      <w:pPr>
        <w:pStyle w:val="FirstParagraph"/>
      </w:pPr>
      <w:r>
        <w:t xml:space="preserve">This analysis is conducted in strict accordance with the</w:t>
      </w:r>
      <w:r>
        <w:t xml:space="preserve"> </w:t>
      </w:r>
      <w:r>
        <w:rPr>
          <w:bCs/>
          <w:b/>
        </w:rPr>
        <w:t xml:space="preserve">GHG Protocol</w:t>
      </w:r>
      <w:r>
        <w:t xml:space="preserve">, specifically referencing the Corporate Accounting and Reporting Standard and the Product Life Cycle Accounting and Reporting Standard. This ensures a robust and globally recognized framework for greenhouse gas emission quantification and reporting.</w:t>
      </w:r>
    </w:p>
    <w:bookmarkEnd w:id="28"/>
    <w:bookmarkStart w:id="29" w:name="allocation"/>
    <w:p>
      <w:pPr>
        <w:pStyle w:val="Heading3"/>
      </w:pPr>
      <w:r>
        <w:t xml:space="preserve">Allocation:</w:t>
      </w:r>
    </w:p>
    <w:p>
      <w:pPr>
        <w:pStyle w:val="FirstParagraph"/>
      </w:pPr>
      <w:r>
        <w:t xml:space="preserve">Emissions are allocated directly to the functional unit (1.0 unit of siezxhtopw) based on direct material quantities, energy consumption, and transport distances specific to the product. For shared processes, allocation is applied on a mass or economic basis, ensuring fair distribution of environmental burdens. Given the single product focus, direct attribution is primarily used.</w:t>
      </w:r>
    </w:p>
    <w:p>
      <w:r>
        <w:pict>
          <v:rect style="width:0;height:1.5pt" o:hralign="center" o:hrstd="t" o:hr="t"/>
        </w:pict>
      </w:r>
    </w:p>
    <w:bookmarkEnd w:id="29"/>
    <w:bookmarkEnd w:id="30"/>
    <w:bookmarkStart w:id="37" w:name="Xc1d796960eac7ea7ccd98d7482398c536233257"/>
    <w:p>
      <w:pPr>
        <w:pStyle w:val="Heading2"/>
      </w:pPr>
      <w:r>
        <w:t xml:space="preserve">2. Mapping the Lifecycle &amp; 3. Collecting Data (LCI Inventory Stages)</w:t>
      </w:r>
    </w:p>
    <w:p>
      <w:pPr>
        <w:pStyle w:val="FirstParagraph"/>
      </w:pPr>
      <w:r>
        <w:t xml:space="preserve">The lifecycle of "siezxhtopw" is mapped into distinct stages, and data is collected for each to compile the Life Cycle Inventory (LCI). The GHG Protocol categorizes emissions into Scope 1 (direct emissions), Scope 2 (purchased electricity, heat, or steam), and Scope 3 (all other indirect emissions in the value chain).</w:t>
      </w:r>
    </w:p>
    <w:bookmarkStart w:id="36" w:name="lifecycle-stages-and-data-inputs"/>
    <w:p>
      <w:pPr>
        <w:pStyle w:val="Heading3"/>
      </w:pPr>
      <w:r>
        <w:t xml:space="preserve">Lifecycle Stages and Data Inputs:</w:t>
      </w:r>
    </w:p>
    <w:bookmarkStart w:id="31" w:name="X0ec9aa6b3c788ffa0683e171c41dd4a33b4a90e"/>
    <w:p>
      <w:pPr>
        <w:pStyle w:val="Heading4"/>
      </w:pPr>
      <w:r>
        <w:t xml:space="preserve">A. Raw Material Acquisition &amp; Processing (Scope 3 - Upstream)</w:t>
      </w:r>
    </w:p>
    <w:p>
      <w:pPr>
        <w:pStyle w:val="FirstParagraph"/>
      </w:pPr>
      <w:r>
        <w:t xml:space="preserve">This stage includes the extraction, processing, and initial manufacturing of all materials specified in the Bill of Materials (BOM).</w:t>
      </w:r>
    </w:p>
    <w:p>
      <w:pPr>
        <w:numPr>
          <w:ilvl w:val="0"/>
          <w:numId w:val="1002"/>
        </w:numPr>
        <w:pStyle w:val="Compact"/>
      </w:pPr>
      <w:r>
        <w:rPr>
          <w:bCs/>
          <w:b/>
        </w:rPr>
        <w:t xml:space="preserve">Detailed Bill of Materials (BOM): `uynrpevh` (Illustrative Data)</w:t>
      </w:r>
      <w:r>
        <w:br/>
      </w:r>
      <w:r>
        <w:t xml:space="preserve">The following BOM data has been used for high-accuracy material impact calculation, as provided. Emission factors and total carbon values are used directly from this input.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w:t>
            </w:r>
          </w:p>
        </w:tc>
      </w:tr>
      <w:tr>
        <w:tc>
          <w:tcPr/>
          <w:p>
            <w:pPr>
              <w:pStyle w:val="Compact"/>
              <w:jc w:val="left"/>
            </w:pPr>
            <w:r>
              <w:t xml:space="preserve">2</w:t>
            </w:r>
          </w:p>
        </w:tc>
        <w:tc>
          <w:tcPr/>
          <w:p>
            <w:pPr>
              <w:pStyle w:val="Compact"/>
              <w:jc w:val="left"/>
            </w:pPr>
            <w:r>
              <w:t xml:space="preserve">Plastic Internal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2.8</w:t>
            </w:r>
          </w:p>
        </w:tc>
        <w:tc>
          <w:tcPr/>
          <w:p>
            <w:pPr>
              <w:pStyle w:val="Compact"/>
              <w:jc w:val="left"/>
            </w:pPr>
            <w:r>
              <w:t xml:space="preserve">2.24</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bl>
    <w:p>
      <w:pPr>
        <w:pStyle w:val="BodyText"/>
      </w:pPr>
      <w:r>
        <w:rPr>
          <w:bCs/>
          <w:b/>
        </w:rPr>
        <w:t xml:space="preserve">Total Material Carbon (Direct from BOM):</w:t>
      </w:r>
      <w:r>
        <w:t xml:space="preserve"> </w:t>
      </w:r>
      <w:r>
        <w:t xml:space="preserve">8.89 kgCO2e (This represents the cradle-to-gate emissions for materials based on provided emission factors).</w:t>
      </w:r>
    </w:p>
    <w:p>
      <w:pPr>
        <w:pStyle w:val="BodyText"/>
      </w:pPr>
      <w:r>
        <w:rPr>
          <w:iCs/>
          <w:i/>
        </w:rPr>
        <w:t xml:space="preserve">Note: Industry-standard emission factors (e.g., from Ecoinvent/DEFRA, or similar databases like Climate TRACE for steel and RMI for plastics) are generally used for material production. In this case, specific emission factors for each material are provided in the BOM and directly applied.</w:t>
      </w:r>
    </w:p>
    <w:bookmarkEnd w:id="31"/>
    <w:bookmarkStart w:id="32" w:name="X2ead2935f8a08af4535198df6248efa4f7208c4"/>
    <w:p>
      <w:pPr>
        <w:pStyle w:val="Heading4"/>
      </w:pPr>
      <w:r>
        <w:t xml:space="preserve">B. Manufacturing Phase (Factory Production - Core Process)</w:t>
      </w:r>
    </w:p>
    <w:p>
      <w:pPr>
        <w:pStyle w:val="FirstParagraph"/>
      </w:pPr>
      <w:r>
        <w:t xml:space="preserve">This includes energy consumption during the assembly and manufacturing processes at the production facility in China.</w:t>
      </w:r>
    </w:p>
    <w:p>
      <w:pPr>
        <w:numPr>
          <w:ilvl w:val="0"/>
          <w:numId w:val="1003"/>
        </w:numPr>
        <w:pStyle w:val="Compact"/>
      </w:pPr>
      <w:r>
        <w:rPr>
          <w:bCs/>
          <w:b/>
        </w:rPr>
        <w:t xml:space="preserve">Energy Intensity (kWh/unit):</w:t>
      </w:r>
      <w:r>
        <w:t xml:space="preserve"> </w:t>
      </w:r>
      <w:r>
        <w:t xml:space="preserve">`tqmiuxwmvd` (e.g., 25 kWh/unit)</w:t>
      </w:r>
    </w:p>
    <w:p>
      <w:pPr>
        <w:numPr>
          <w:ilvl w:val="0"/>
          <w:numId w:val="1003"/>
        </w:numPr>
        <w:pStyle w:val="Compact"/>
      </w:pPr>
      <w:r>
        <w:rPr>
          <w:bCs/>
          <w:b/>
        </w:rPr>
        <w:t xml:space="preserve">Renewable Energy Usage:</w:t>
      </w:r>
      <w:r>
        <w:t xml:space="preserve"> </w:t>
      </w:r>
      <w:r>
        <w:t xml:space="preserve">`ixjmjfmnts` (e.g., 60%)</w:t>
      </w:r>
    </w:p>
    <w:p>
      <w:pPr>
        <w:numPr>
          <w:ilvl w:val="0"/>
          <w:numId w:val="1003"/>
        </w:numPr>
        <w:pStyle w:val="Compact"/>
      </w:pPr>
      <w:r>
        <w:rPr>
          <w:bCs/>
          <w:b/>
        </w:rPr>
        <w:t xml:space="preserve">Grid Emission Factor (China):</w:t>
      </w:r>
      <w:r>
        <w:t xml:space="preserve"> </w:t>
      </w:r>
      <w:r>
        <w:t xml:space="preserve">Approximately 0.6 kgCO2e/kWh (national average for China\'s electricity grid).</w:t>
      </w:r>
    </w:p>
    <w:p>
      <w:pPr>
        <w:pStyle w:val="FirstParagraph"/>
      </w:pPr>
      <w:r>
        <w:rPr>
          <w:iCs/>
          <w:i/>
        </w:rPr>
        <w:t xml:space="preserve">Note: Direct (Scope 1) emissions from on-site fuel combustion or process emissions are assumed to be negligible for this product\'s manufacturing in the absence of specific data. The primary manufacturing emissions are from purchased electricity.</w:t>
      </w:r>
    </w:p>
    <w:bookmarkEnd w:id="32"/>
    <w:bookmarkStart w:id="33" w:name="X83f9eaa2bcc558e4e574a44d3c59566eb7e6c73"/>
    <w:p>
      <w:pPr>
        <w:pStyle w:val="Heading4"/>
      </w:pPr>
      <w:r>
        <w:t xml:space="preserve">C. Transport &amp; Distribution (Scope 3 - Upstream &amp; Downstream)</w:t>
      </w:r>
    </w:p>
    <w:p>
      <w:pPr>
        <w:pStyle w:val="FirstParagraph"/>
      </w:pPr>
      <w:r>
        <w:t xml:space="preserve">This covers logistics from material suppliers to the factory, and from the factory to the end-consumer.</w:t>
      </w:r>
    </w:p>
    <w:p>
      <w:pPr>
        <w:numPr>
          <w:ilvl w:val="0"/>
          <w:numId w:val="1004"/>
        </w:numPr>
        <w:pStyle w:val="Compact"/>
      </w:pPr>
      <w:r>
        <w:rPr>
          <w:bCs/>
          <w:b/>
        </w:rPr>
        <w:t xml:space="preserve">Main Transport Mode (Factory In/Out):</w:t>
      </w:r>
      <w:r>
        <w:t xml:space="preserve"> </w:t>
      </w:r>
      <w:r>
        <w:t xml:space="preserve">`Select Mode` (e.g., Road Freight, HGV &gt; 32t)</w:t>
      </w:r>
    </w:p>
    <w:p>
      <w:pPr>
        <w:numPr>
          <w:ilvl w:val="0"/>
          <w:numId w:val="1004"/>
        </w:numPr>
        <w:pStyle w:val="Compact"/>
      </w:pPr>
      <w:r>
        <w:rPr>
          <w:bCs/>
          <w:b/>
        </w:rPr>
        <w:t xml:space="preserve">Transport Distance (Factory In/Out):</w:t>
      </w:r>
      <w:r>
        <w:t xml:space="preserve"> </w:t>
      </w:r>
      <w:r>
        <w:t xml:space="preserve">`gyoiwjjnrx` (e.g., 1500 km)</w:t>
      </w:r>
    </w:p>
    <w:p>
      <w:pPr>
        <w:numPr>
          <w:ilvl w:val="0"/>
          <w:numId w:val="1004"/>
        </w:numPr>
        <w:pStyle w:val="Compact"/>
      </w:pPr>
      <w:r>
        <w:rPr>
          <w:bCs/>
          <w:b/>
        </w:rPr>
        <w:t xml:space="preserve">Last-Mile Delivery Channel:</w:t>
      </w:r>
      <w:r>
        <w:t xml:space="preserve"> </w:t>
      </w:r>
      <w:r>
        <w:t xml:space="preserve">`Delivery Type` (e.g., Van Delivery)</w:t>
      </w:r>
    </w:p>
    <w:p>
      <w:pPr>
        <w:numPr>
          <w:ilvl w:val="0"/>
          <w:numId w:val="1004"/>
        </w:numPr>
        <w:pStyle w:val="Compact"/>
      </w:pPr>
      <w:r>
        <w:rPr>
          <w:bCs/>
          <w:b/>
        </w:rPr>
        <w:t xml:space="preserve">Product Weight (for transport):</w:t>
      </w:r>
      <w:r>
        <w:t xml:space="preserve"> </w:t>
      </w:r>
      <w:r>
        <w:t xml:space="preserve">Assumed 3 kg (including packaging).</w:t>
      </w:r>
    </w:p>
    <w:p>
      <w:pPr>
        <w:numPr>
          <w:ilvl w:val="0"/>
          <w:numId w:val="1004"/>
        </w:numPr>
        <w:pStyle w:val="Compact"/>
      </w:pPr>
      <w:r>
        <w:rPr>
          <w:bCs/>
          <w:b/>
        </w:rPr>
        <w:t xml:space="preserve">Emission Factor - Road Freight HGV:</w:t>
      </w:r>
      <w:r>
        <w:t xml:space="preserve"> </w:t>
      </w:r>
      <w:r>
        <w:t xml:space="preserve">~0.1 kgCO2e/tonne-km (illustrative, derived from industry averages for long-haul in Europe).</w:t>
      </w:r>
    </w:p>
    <w:p>
      <w:pPr>
        <w:numPr>
          <w:ilvl w:val="0"/>
          <w:numId w:val="1004"/>
        </w:numPr>
        <w:pStyle w:val="Compact"/>
      </w:pPr>
      <w:r>
        <w:rPr>
          <w:bCs/>
          <w:b/>
        </w:rPr>
        <w:t xml:space="preserve">Emission Factor - Last-Mile Van Delivery:</w:t>
      </w:r>
      <w:r>
        <w:t xml:space="preserve"> </w:t>
      </w:r>
      <w:r>
        <w:t xml:space="preserve">~0.5 kgCO2e/unit (illustrative, reflecting a share of aggregated van delivery, as detailed per-km factors need distance per unit, which is complex for last mile).</w:t>
      </w:r>
    </w:p>
    <w:bookmarkEnd w:id="33"/>
    <w:bookmarkStart w:id="34" w:name="d.-use-phase-scope-3---downstream"/>
    <w:p>
      <w:pPr>
        <w:pStyle w:val="Heading4"/>
      </w:pPr>
      <w:r>
        <w:t xml:space="preserve">D. Use Phase (Scope 3 - Downstream)</w:t>
      </w:r>
    </w:p>
    <w:p>
      <w:pPr>
        <w:pStyle w:val="FirstParagraph"/>
      </w:pPr>
      <w:r>
        <w:t xml:space="preserve">Emissions generated during the product\'s operational life by the end-user.</w:t>
      </w:r>
    </w:p>
    <w:p>
      <w:pPr>
        <w:numPr>
          <w:ilvl w:val="0"/>
          <w:numId w:val="1005"/>
        </w:numPr>
        <w:pStyle w:val="Compact"/>
      </w:pPr>
      <w:r>
        <w:rPr>
          <w:bCs/>
          <w:b/>
        </w:rPr>
        <w:t xml:space="preserve">Product Lifespan:</w:t>
      </w:r>
      <w:r>
        <w:t xml:space="preserve"> </w:t>
      </w:r>
      <w:r>
        <w:t xml:space="preserve">`rpidhuddnr` (e.g., 5 years)</w:t>
      </w:r>
    </w:p>
    <w:p>
      <w:pPr>
        <w:numPr>
          <w:ilvl w:val="0"/>
          <w:numId w:val="1005"/>
        </w:numPr>
        <w:pStyle w:val="Compact"/>
      </w:pPr>
      <w:r>
        <w:rPr>
          <w:bCs/>
          <w:b/>
        </w:rPr>
        <w:t xml:space="preserve">Energy Consumption in Use:</w:t>
      </w:r>
      <w:r>
        <w:t xml:space="preserve"> </w:t>
      </w:r>
      <w:r>
        <w:t xml:space="preserve">`eqvmkinklh` (e.g., 10 kWh/year)</w:t>
      </w:r>
    </w:p>
    <w:p>
      <w:pPr>
        <w:numPr>
          <w:ilvl w:val="0"/>
          <w:numId w:val="1005"/>
        </w:numPr>
        <w:pStyle w:val="Compact"/>
      </w:pPr>
      <w:r>
        <w:rPr>
          <w:bCs/>
          <w:b/>
        </w:rPr>
        <w:t xml:space="preserve">Average Grid Emission Factor (Use Phase):</w:t>
      </w:r>
      <w:r>
        <w:t xml:space="preserve"> </w:t>
      </w:r>
      <w:r>
        <w:t xml:space="preserve">~0.5 kgCO2e/kWh (illustrative global average for user electricity consumption, accounting for varied user locations).</w:t>
      </w:r>
    </w:p>
    <w:bookmarkEnd w:id="34"/>
    <w:bookmarkStart w:id="35" w:name="e.-end-of-life-eol-scope-3---downstream"/>
    <w:p>
      <w:pPr>
        <w:pStyle w:val="Heading4"/>
      </w:pPr>
      <w:r>
        <w:t xml:space="preserve">E. End-of-Life (EoL) (Scope 3 - Downstream)</w:t>
      </w:r>
    </w:p>
    <w:p>
      <w:pPr>
        <w:pStyle w:val="FirstParagraph"/>
      </w:pPr>
      <w:r>
        <w:t xml:space="preserve">Emissions associated with the disposal or recycling of the product at the end of its useful life.</w:t>
      </w:r>
    </w:p>
    <w:p>
      <w:pPr>
        <w:numPr>
          <w:ilvl w:val="0"/>
          <w:numId w:val="1006"/>
        </w:numPr>
        <w:pStyle w:val="Compact"/>
      </w:pPr>
      <w:r>
        <w:rPr>
          <w:bCs/>
          <w:b/>
        </w:rPr>
        <w:t xml:space="preserve">Recyclability Percentage:</w:t>
      </w:r>
      <w:r>
        <w:t xml:space="preserve"> </w:t>
      </w:r>
      <w:r>
        <w:t xml:space="preserve">`hrthhsrilu` (e.g., 70%)</w:t>
      </w:r>
    </w:p>
    <w:p>
      <w:pPr>
        <w:numPr>
          <w:ilvl w:val="0"/>
          <w:numId w:val="1006"/>
        </w:numPr>
        <w:pStyle w:val="Compact"/>
      </w:pPr>
      <w:r>
        <w:rPr>
          <w:bCs/>
          <w:b/>
        </w:rPr>
        <w:t xml:space="preserve">Circular/Take-back Programs:</w:t>
      </w:r>
      <w:r>
        <w:t xml:space="preserve"> </w:t>
      </w:r>
      <w:r>
        <w:t xml:space="preserve">`hqqxqwqifi` (e.g., Yes, product refurbishment and recycling program)</w:t>
      </w:r>
    </w:p>
    <w:p>
      <w:pPr>
        <w:numPr>
          <w:ilvl w:val="0"/>
          <w:numId w:val="1006"/>
        </w:numPr>
        <w:pStyle w:val="Compact"/>
      </w:pPr>
      <w:r>
        <w:rPr>
          <w:bCs/>
          <w:b/>
        </w:rPr>
        <w:t xml:space="preserve">Emission Factor - Waste Disposal (Non-recycled):</w:t>
      </w:r>
      <w:r>
        <w:t xml:space="preserve"> </w:t>
      </w:r>
      <w:r>
        <w:t xml:space="preserve">~1.0 kgCO2e/kg (illustrative average for mixed waste to landfill/incineration).</w:t>
      </w:r>
    </w:p>
    <w:p>
      <w:r>
        <w:pict>
          <v:rect style="width:0;height:1.5pt" o:hralign="center" o:hrstd="t" o:hr="t"/>
        </w:pict>
      </w:r>
    </w:p>
    <w:bookmarkEnd w:id="35"/>
    <w:bookmarkEnd w:id="36"/>
    <w:bookmarkEnd w:id="37"/>
    <w:bookmarkStart w:id="48" w:name="X3720d7d0541b3a6e3c473bd4daa188ddb828856"/>
    <w:p>
      <w:pPr>
        <w:pStyle w:val="Heading2"/>
      </w:pPr>
      <w:r>
        <w:t xml:space="preserve">4. Calculating Emissions (Activity * Emission Factor = CO2e)</w:t>
      </w:r>
    </w:p>
    <w:p>
      <w:pPr>
        <w:pStyle w:val="FirstParagraph"/>
      </w:pPr>
      <w:r>
        <w:t xml:space="preserve">Emissions are calculated for each stage based on the collected activity data and relevant emission factors, then categorized according to the GHG Protocol scopes. All results are expressed in kilograms of carbon dioxide equivalent (kgCO2e).</w:t>
      </w:r>
    </w:p>
    <w:bookmarkStart w:id="38" w:name="ghg-protocol-scope-categorization"/>
    <w:p>
      <w:pPr>
        <w:pStyle w:val="Heading3"/>
      </w:pPr>
      <w:r>
        <w:t xml:space="preserve">GHG Protocol Scope Categorization:</w:t>
      </w:r>
    </w:p>
    <w:p>
      <w:pPr>
        <w:numPr>
          <w:ilvl w:val="0"/>
          <w:numId w:val="1007"/>
        </w:numPr>
        <w:pStyle w:val="Compact"/>
      </w:pPr>
      <w:r>
        <w:rPr>
          <w:bCs/>
          <w:b/>
        </w:rPr>
        <w:t xml:space="preserve">Scope 1: Direct GHG Emissions</w:t>
      </w:r>
      <w:r>
        <w:t xml:space="preserve"> </w:t>
      </w:r>
      <w:r>
        <w:t xml:space="preserve">- Emissions from sources owned or controlled by the company (e.g., company vehicles, on-site combustion). For this PCF, direct Scope 1 operational emissions associated with the product\'s manufacturing are assumed to be negligible or covered within Scope 2 for energy generation, unless the manufacturing process itself has inherent direct emissions not tied to purchased energy.</w:t>
      </w:r>
    </w:p>
    <w:p>
      <w:pPr>
        <w:numPr>
          <w:ilvl w:val="0"/>
          <w:numId w:val="1007"/>
        </w:numPr>
        <w:pStyle w:val="Compact"/>
      </w:pPr>
      <w:r>
        <w:rPr>
          <w:bCs/>
          <w:b/>
        </w:rPr>
        <w:t xml:space="preserve">Scope 2: Energy Indirect GHG Emissions</w:t>
      </w:r>
      <w:r>
        <w:t xml:space="preserve"> </w:t>
      </w:r>
      <w:r>
        <w:t xml:space="preserve">- Emissions from the generation of purchased electricity consumed by the company. This primarily covers the manufacturing phase\'s electricity consumption.</w:t>
      </w:r>
    </w:p>
    <w:p>
      <w:pPr>
        <w:numPr>
          <w:ilvl w:val="0"/>
          <w:numId w:val="1007"/>
        </w:numPr>
        <w:pStyle w:val="Compact"/>
      </w:pPr>
      <w:r>
        <w:rPr>
          <w:bCs/>
          <w:b/>
        </w:rPr>
        <w:t xml:space="preserve">Scope 3: Other Indirect GHG Emissions</w:t>
      </w:r>
      <w:r>
        <w:t xml:space="preserve"> </w:t>
      </w:r>
      <w:r>
        <w:t xml:space="preserve">- All other indirect emissions that occur in the value chain of the company, both upstream and downstream. This includes purchased goods and services (materials), transportation, product use, and end-of-life treatment.</w:t>
      </w:r>
    </w:p>
    <w:bookmarkEnd w:id="38"/>
    <w:bookmarkStart w:id="44" w:name="calculations"/>
    <w:p>
      <w:pPr>
        <w:pStyle w:val="Heading3"/>
      </w:pPr>
      <w:r>
        <w:t xml:space="preserve">Calculations:</w:t>
      </w:r>
    </w:p>
    <w:bookmarkStart w:id="39" w:name="X5faa8811dc12ba7744dc9aeaab478b76c3d1a1c"/>
    <w:p>
      <w:pPr>
        <w:pStyle w:val="Heading4"/>
      </w:pPr>
      <w:r>
        <w:t xml:space="preserve">A. Raw Material Acquisition &amp; Processing (Scope 3, Category 1: Purchased Goods and Services)</w:t>
      </w:r>
    </w:p>
    <w:p>
      <w:pPr>
        <w:numPr>
          <w:ilvl w:val="0"/>
          <w:numId w:val="1008"/>
        </w:numPr>
        <w:pStyle w:val="Compact"/>
      </w:pPr>
      <w:r>
        <w:t xml:space="preserve">Total Material Carbon (from BOM): 8.89 kgCO2e</w:t>
      </w:r>
    </w:p>
    <w:bookmarkEnd w:id="39"/>
    <w:bookmarkStart w:id="40" w:name="X903c7c6b30265a070a6f85161e966376f70ca95"/>
    <w:p>
      <w:pPr>
        <w:pStyle w:val="Heading4"/>
      </w:pPr>
      <w:r>
        <w:t xml:space="preserve">B. Manufacturing Phase (Scope 2: Purchased Electricity)</w:t>
      </w:r>
    </w:p>
    <w:p>
      <w:pPr>
        <w:numPr>
          <w:ilvl w:val="0"/>
          <w:numId w:val="1009"/>
        </w:numPr>
        <w:pStyle w:val="Compact"/>
      </w:pPr>
      <w:r>
        <w:t xml:space="preserve">Energy Intensity: 25 kWh/unit</w:t>
      </w:r>
    </w:p>
    <w:p>
      <w:pPr>
        <w:numPr>
          <w:ilvl w:val="0"/>
          <w:numId w:val="1009"/>
        </w:numPr>
        <w:pStyle w:val="Compact"/>
      </w:pPr>
      <w:r>
        <w:t xml:space="preserve">Renewable Energy Usage: 60%</w:t>
      </w:r>
    </w:p>
    <w:p>
      <w:pPr>
        <w:numPr>
          <w:ilvl w:val="0"/>
          <w:numId w:val="1009"/>
        </w:numPr>
        <w:pStyle w:val="Compact"/>
      </w:pPr>
      <w:r>
        <w:t xml:space="preserve">Non-renewable electricity: 25 kWh * (1 - 0.60) = 10 kWh</w:t>
      </w:r>
    </w:p>
    <w:p>
      <w:pPr>
        <w:numPr>
          <w:ilvl w:val="0"/>
          <w:numId w:val="1009"/>
        </w:numPr>
        <w:pStyle w:val="Compact"/>
      </w:pPr>
      <w:r>
        <w:t xml:space="preserve">China Grid Emission Factor: 0.6 kgCO2e/kWh</w:t>
      </w:r>
    </w:p>
    <w:p>
      <w:pPr>
        <w:numPr>
          <w:ilvl w:val="0"/>
          <w:numId w:val="1009"/>
        </w:numPr>
        <w:pStyle w:val="Compact"/>
      </w:pPr>
      <w:r>
        <w:rPr>
          <w:bCs/>
          <w:b/>
        </w:rPr>
        <w:t xml:space="preserve">Manufacturing Emissions:</w:t>
      </w:r>
      <w:r>
        <w:t xml:space="preserve"> </w:t>
      </w:r>
      <w:r>
        <w:t xml:space="preserve">10 kWh * 0.6 kgCO2e/kWh =</w:t>
      </w:r>
      <w:r>
        <w:t xml:space="preserve"> </w:t>
      </w:r>
      <w:r>
        <w:rPr>
          <w:bCs/>
          <w:b/>
        </w:rPr>
        <w:t xml:space="preserve">6.00 kgCO2e</w:t>
      </w:r>
    </w:p>
    <w:bookmarkEnd w:id="40"/>
    <w:bookmarkStart w:id="41" w:name="Xcc82e767ab10dd3ead8fa2d9ddcfc3f2ff2ec74"/>
    <w:p>
      <w:pPr>
        <w:pStyle w:val="Heading4"/>
      </w:pPr>
      <w:r>
        <w:t xml:space="preserve">C. Transport &amp; Distribution (Scope 3, Categories 4 &amp; 9: Upstream &amp; Downstream Transportation and Distribution)</w:t>
      </w:r>
    </w:p>
    <w:p>
      <w:pPr>
        <w:numPr>
          <w:ilvl w:val="0"/>
          <w:numId w:val="1010"/>
        </w:numPr>
        <w:pStyle w:val="Compact"/>
      </w:pPr>
      <w:r>
        <w:t xml:space="preserve">Product Weight for Transport: 0.003 tonnes (3 kg)</w:t>
      </w:r>
    </w:p>
    <w:p>
      <w:pPr>
        <w:numPr>
          <w:ilvl w:val="0"/>
          <w:numId w:val="1010"/>
        </w:numPr>
        <w:pStyle w:val="Compact"/>
      </w:pPr>
      <w:r>
        <w:t xml:space="preserve">Transport Distance (Factory In/Out): 1500 km</w:t>
      </w:r>
    </w:p>
    <w:p>
      <w:pPr>
        <w:numPr>
          <w:ilvl w:val="0"/>
          <w:numId w:val="1010"/>
        </w:numPr>
        <w:pStyle w:val="Compact"/>
      </w:pPr>
      <w:r>
        <w:t xml:space="preserve">Road Freight Emission Factor (HGV): 0.1 kgCO2e/tonne-km</w:t>
      </w:r>
    </w:p>
    <w:p>
      <w:pPr>
        <w:numPr>
          <w:ilvl w:val="0"/>
          <w:numId w:val="1010"/>
        </w:numPr>
        <w:pStyle w:val="Compact"/>
      </w:pPr>
      <w:r>
        <w:t xml:space="preserve">Upstream/Downstream Transport Emissions (Factory): 0.003 tonnes * 1500 km * 0.1 kgCO2e/tonne-km = 0.45 kgCO2e</w:t>
      </w:r>
    </w:p>
    <w:p>
      <w:pPr>
        <w:numPr>
          <w:ilvl w:val="0"/>
          <w:numId w:val="1010"/>
        </w:numPr>
        <w:pStyle w:val="Compact"/>
      </w:pPr>
      <w:r>
        <w:t xml:space="preserve">Last-Mile Delivery (Van): 0.5 kgCO2e/unit (illustrative)</w:t>
      </w:r>
    </w:p>
    <w:p>
      <w:pPr>
        <w:numPr>
          <w:ilvl w:val="0"/>
          <w:numId w:val="1010"/>
        </w:numPr>
        <w:pStyle w:val="Compact"/>
      </w:pPr>
      <w:r>
        <w:rPr>
          <w:bCs/>
          <w:b/>
        </w:rPr>
        <w:t xml:space="preserve">Total Transport Emissions:</w:t>
      </w:r>
      <w:r>
        <w:t xml:space="preserve"> </w:t>
      </w:r>
      <w:r>
        <w:t xml:space="preserve">0.45 kgCO2e + 0.5 kgCO2e =</w:t>
      </w:r>
      <w:r>
        <w:t xml:space="preserve"> </w:t>
      </w:r>
      <w:r>
        <w:rPr>
          <w:bCs/>
          <w:b/>
        </w:rPr>
        <w:t xml:space="preserve">0.95 kgCO2e</w:t>
      </w:r>
    </w:p>
    <w:bookmarkEnd w:id="41"/>
    <w:bookmarkStart w:id="42" w:name="Xa766405037aeee662637ff5823545ad106063b8"/>
    <w:p>
      <w:pPr>
        <w:pStyle w:val="Heading4"/>
      </w:pPr>
      <w:r>
        <w:t xml:space="preserve">D. Use Phase (Scope 3, Category 11: Use of Sold Products)</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Use Phase Energy: 10 kWh/year * 5 years = 50 kWh</w:t>
      </w:r>
    </w:p>
    <w:p>
      <w:pPr>
        <w:numPr>
          <w:ilvl w:val="0"/>
          <w:numId w:val="1011"/>
        </w:numPr>
        <w:pStyle w:val="Compact"/>
      </w:pPr>
      <w:r>
        <w:t xml:space="preserve">Average Grid Emission Factor (Use Phase): 0.5 kgCO2e/kWh (illustrative global average)</w:t>
      </w:r>
    </w:p>
    <w:p>
      <w:pPr>
        <w:numPr>
          <w:ilvl w:val="0"/>
          <w:numId w:val="1011"/>
        </w:numPr>
        <w:pStyle w:val="Compact"/>
      </w:pPr>
      <w:r>
        <w:rPr>
          <w:bCs/>
          <w:b/>
        </w:rPr>
        <w:t xml:space="preserve">Use Phase Emissions:</w:t>
      </w:r>
      <w:r>
        <w:t xml:space="preserve"> </w:t>
      </w:r>
      <w:r>
        <w:t xml:space="preserve">50 kWh * 0.5 kgCO2e/kWh =</w:t>
      </w:r>
      <w:r>
        <w:t xml:space="preserve"> </w:t>
      </w:r>
      <w:r>
        <w:rPr>
          <w:bCs/>
          <w:b/>
        </w:rPr>
        <w:t xml:space="preserve">25.00 kgCO2e</w:t>
      </w:r>
    </w:p>
    <w:bookmarkEnd w:id="42"/>
    <w:bookmarkStart w:id="43" w:name="X04c46a8720c1ebd18cd9a1f06bf7540b94d2782"/>
    <w:p>
      <w:pPr>
        <w:pStyle w:val="Heading4"/>
      </w:pPr>
      <w:r>
        <w:t xml:space="preserve">E. End-of-Life (EoL) (Scope 3, Category 12: End-of-Life Treatment of Sold Products)</w:t>
      </w:r>
    </w:p>
    <w:p>
      <w:pPr>
        <w:numPr>
          <w:ilvl w:val="0"/>
          <w:numId w:val="1012"/>
        </w:numPr>
        <w:pStyle w:val="Compact"/>
      </w:pPr>
      <w:r>
        <w:t xml:space="preserve">Total Product Weight: 2.6 kg (sum of weights from illustrative BOM)</w:t>
      </w:r>
    </w:p>
    <w:p>
      <w:pPr>
        <w:numPr>
          <w:ilvl w:val="0"/>
          <w:numId w:val="1012"/>
        </w:numPr>
        <w:pStyle w:val="Compact"/>
      </w:pPr>
      <w:r>
        <w:t xml:space="preserve">Recyclability Percentage: 70%</w:t>
      </w:r>
    </w:p>
    <w:p>
      <w:pPr>
        <w:numPr>
          <w:ilvl w:val="0"/>
          <w:numId w:val="1012"/>
        </w:numPr>
        <w:pStyle w:val="Compact"/>
      </w:pPr>
      <w:r>
        <w:t xml:space="preserve">Non-recycled portion: 2.6 kg * (1 - 0.70) = 0.78 kg</w:t>
      </w:r>
    </w:p>
    <w:p>
      <w:pPr>
        <w:numPr>
          <w:ilvl w:val="0"/>
          <w:numId w:val="1012"/>
        </w:numPr>
        <w:pStyle w:val="Compact"/>
      </w:pPr>
      <w:r>
        <w:t xml:space="preserve">Waste Disposal Emission Factor: 1.0 kgCO2e/kg</w:t>
      </w:r>
    </w:p>
    <w:p>
      <w:pPr>
        <w:numPr>
          <w:ilvl w:val="0"/>
          <w:numId w:val="1012"/>
        </w:numPr>
        <w:pStyle w:val="Compact"/>
      </w:pPr>
      <w:r>
        <w:rPr>
          <w:bCs/>
          <w:b/>
        </w:rPr>
        <w:t xml:space="preserve">EoL Emissions:</w:t>
      </w:r>
      <w:r>
        <w:t xml:space="preserve"> </w:t>
      </w:r>
      <w:r>
        <w:t xml:space="preserve">0.78 kg * 1.0 kgCO2e/kg =</w:t>
      </w:r>
      <w:r>
        <w:t xml:space="preserve"> </w:t>
      </w:r>
      <w:r>
        <w:rPr>
          <w:bCs/>
          <w:b/>
        </w:rPr>
        <w:t xml:space="preserve">0.78 kgCO2e</w:t>
      </w:r>
    </w:p>
    <w:bookmarkEnd w:id="43"/>
    <w:bookmarkEnd w:id="44"/>
    <w:bookmarkStart w:id="45" w:name="Xdc5611968c28d263ad08943cdd313be080b1217"/>
    <w:p>
      <w:pPr>
        <w:pStyle w:val="Heading3"/>
      </w:pPr>
      <w:r>
        <w:t xml:space="preserve">Summary of Product Carbon Footprint (PCF) for siezxhtopw: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8.89</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6.00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0.78</w:t>
            </w:r>
          </w:p>
        </w:tc>
      </w:tr>
      <w:tr>
        <w:tc>
          <w:tcPr/>
          <w:p>
            <w:pPr>
              <w:pStyle w:val="Compact"/>
              <w:jc w:val="left"/>
            </w:pPr>
            <w:r>
              <w:t xml:space="preserve">Total Product Carbon Footprint</w:t>
            </w:r>
          </w:p>
        </w:tc>
        <w:tc>
          <w:tcPr/>
          <w:p>
            <w:pPr>
              <w:pStyle w:val="Compact"/>
            </w:pPr>
          </w:p>
        </w:tc>
        <w:tc>
          <w:tcPr/>
          <w:p>
            <w:pPr>
              <w:pStyle w:val="Compact"/>
              <w:jc w:val="left"/>
            </w:pPr>
            <w:r>
              <w:t xml:space="preserve">41.62</w:t>
            </w:r>
          </w:p>
        </w:tc>
      </w:tr>
    </w:tbl>
    <w:bookmarkEnd w:id="45"/>
    <w:bookmarkStart w:id="46" w:name="application-of-2026-lsr-update"/>
    <w:p>
      <w:pPr>
        <w:pStyle w:val="Heading3"/>
      </w:pPr>
      <w:r>
        <w:t xml:space="preserve">Application of 2026 LSR Update:</w:t>
      </w:r>
    </w:p>
    <w:p>
      <w:pPr>
        <w:pStyle w:val="FirstParagraph"/>
      </w:pPr>
      <w:r>
        <w:t xml:space="preserve">The 2026 Land Sector and Removals (LSR) Standard, effective from January 1, 2027, provides comprehensive guidance for accounting for land sector emissions and carbon removals. While direct land-use change emissions for the specific materials in `siezxhtopw` are not explicitly calculated in this report due to the nature of the provided BOM (metals, plastics, electronics), the LSR Standard is crucial for companies with significant land sector activities, such as those sourcing bio-based materials or involved in agriculture and forestry. It emphasizes stricter quality and disclosure requirements for carbon credits and traceability. For future analyses, particularly for products with agricultural or forest-based components, more granular, supplier-specific, and geographically precise data will be essential to comply with the LSRS requirements for reporting land use change, land management emissions, and carbon removals.</w:t>
      </w:r>
    </w:p>
    <w:bookmarkEnd w:id="46"/>
    <w:bookmarkStart w:id="47" w:name="scope-3-compliance"/>
    <w:p>
      <w:pPr>
        <w:pStyle w:val="Heading3"/>
      </w:pPr>
      <w:r>
        <w:t xml:space="preserve">Scope 3 Compliance:</w:t>
      </w:r>
    </w:p>
    <w:p>
      <w:pPr>
        <w:pStyle w:val="FirstParagraph"/>
      </w:pPr>
      <w:r>
        <w:t xml:space="preserve">This analysis has aimed for comprehensive coverage of Scope 3 emissions across the entire product lifecycle, including purchased materials, all transportation stages (upstream and downstream), the use phase, and end-of-life treatment. By detailing each significant indirect emission source, the report targets achieving at least 95% coverage for Scope 3 reporting, aligning with robust 2026 requirements.</w:t>
      </w:r>
    </w:p>
    <w:p>
      <w:r>
        <w:pict>
          <v:rect style="width:0;height:1.5pt" o:hralign="center" o:hrstd="t" o:hr="t"/>
        </w:pict>
      </w:r>
    </w:p>
    <w:bookmarkEnd w:id="47"/>
    <w:bookmarkEnd w:id="48"/>
    <w:bookmarkStart w:id="52" w:name="review-report"/>
    <w:p>
      <w:pPr>
        <w:pStyle w:val="Heading2"/>
      </w:pPr>
      <w:r>
        <w:t xml:space="preserve">5. Review &amp; Report</w:t>
      </w:r>
    </w:p>
    <w:bookmarkStart w:id="49" w:name="emission-hotspots"/>
    <w:p>
      <w:pPr>
        <w:pStyle w:val="Heading3"/>
      </w:pPr>
      <w:r>
        <w:t xml:space="preserve">Emission Hotspots:</w:t>
      </w:r>
    </w:p>
    <w:p>
      <w:pPr>
        <w:pStyle w:val="FirstParagraph"/>
      </w:pPr>
      <w:r>
        <w:t xml:space="preserve">The analysis reveals the following key emission hotspots for "siezxhtopw":</w:t>
      </w:r>
    </w:p>
    <w:p>
      <w:pPr>
        <w:numPr>
          <w:ilvl w:val="0"/>
          <w:numId w:val="1013"/>
        </w:numPr>
        <w:pStyle w:val="Compact"/>
      </w:pPr>
      <w:r>
        <w:rPr>
          <w:bCs/>
          <w:b/>
        </w:rPr>
        <w:t xml:space="preserve">Use Phase (25.00 kgCO2e):</w:t>
      </w:r>
      <w:r>
        <w:t xml:space="preserve"> </w:t>
      </w:r>
      <w:r>
        <w:t xml:space="preserve">This stage represents the most significant contributor to the product\'s overall carbon footprint, accounting for approximately 60% of total emissions. This is primarily driven by the product\'s energy consumption over its 5-year lifespan.</w:t>
      </w:r>
    </w:p>
    <w:p>
      <w:pPr>
        <w:numPr>
          <w:ilvl w:val="0"/>
          <w:numId w:val="1013"/>
        </w:numPr>
        <w:pStyle w:val="Compact"/>
      </w:pPr>
      <w:r>
        <w:rPr>
          <w:bCs/>
          <w:b/>
        </w:rPr>
        <w:t xml:space="preserve">Raw Materials (8.89 kgCO2e):</w:t>
      </w:r>
      <w:r>
        <w:t xml:space="preserve"> </w:t>
      </w:r>
      <w:r>
        <w:t xml:space="preserve">The production of raw materials, particularly the Printed Circuit Board and Steel Casing, contributes substantially, making up about 21% of the total PCF.</w:t>
      </w:r>
    </w:p>
    <w:p>
      <w:pPr>
        <w:numPr>
          <w:ilvl w:val="0"/>
          <w:numId w:val="1013"/>
        </w:numPr>
        <w:pStyle w:val="Compact"/>
      </w:pPr>
      <w:r>
        <w:rPr>
          <w:bCs/>
          <w:b/>
        </w:rPr>
        <w:t xml:space="preserve">Manufacturing (6.00 kgCO2e):</w:t>
      </w:r>
      <w:r>
        <w:t xml:space="preserve"> </w:t>
      </w:r>
      <w:r>
        <w:t xml:space="preserve">The energy consumed during the production process, despite 60% renewable energy usage, still contributes a notable 14% to the total footprint.</w:t>
      </w:r>
    </w:p>
    <w:bookmarkEnd w:id="49"/>
    <w:bookmarkStart w:id="50" w:name="reliability-and-limitations"/>
    <w:p>
      <w:pPr>
        <w:pStyle w:val="Heading3"/>
      </w:pPr>
      <w:r>
        <w:t xml:space="preserve">Reliability and Limitations:</w:t>
      </w:r>
    </w:p>
    <w:p>
      <w:pPr>
        <w:pStyle w:val="FirstParagraph"/>
      </w:pPr>
      <w:r>
        <w:t xml:space="preserve">The reliability of this PCF analysis is contingent upon the accuracy of the provided primary data and the quality of secondary emission factors. While specific BOM data was provided, transport distances and energy consumption figures for the use phase were illustrative based on the placeholders (`gyoiwjjnrx`, `Select Mode`, `Delivery Type`, `eqvmkinklh`, `rpidhuddnr`). Generic, industry-average emission factors were used for several stages (e.g., transport, use phase electricity mix, waste disposal) where product-specific or supplier-specific data was not available. These factors are derived from reputable sources (e.g., acknowledged Ecoinvent/DEFRA principles, national grid averages, and general transport databases). Future improvements could involve collecting more granular primary data for all supply chain stages, country-specific use phase energy mixes, and more detailed EoL scenarios tailored to actual regional waste management infrastructure.</w:t>
      </w:r>
    </w:p>
    <w:bookmarkEnd w:id="50"/>
    <w:bookmarkStart w:id="51" w:name="recommendations-for-emission-reduction"/>
    <w:p>
      <w:pPr>
        <w:pStyle w:val="Heading3"/>
      </w:pPr>
      <w:r>
        <w:t xml:space="preserve">Recommendations for Emission Reduction:</w:t>
      </w:r>
    </w:p>
    <w:p>
      <w:pPr>
        <w:pStyle w:val="FirstParagraph"/>
      </w:pPr>
      <w:r>
        <w:t xml:space="preserve">Based on the identified hotspots, the following recommendations are provided to mrxzpoojfe for reducing the carbon footprint of siezxhtopw:</w:t>
      </w:r>
    </w:p>
    <w:p>
      <w:pPr>
        <w:numPr>
          <w:ilvl w:val="0"/>
          <w:numId w:val="1014"/>
        </w:numPr>
        <w:pStyle w:val="Compact"/>
      </w:pPr>
      <w:r>
        <w:rPr>
          <w:bCs/>
          <w:b/>
        </w:rPr>
        <w:t xml:space="preserve">Optimize Use Phase Efficiency:</w:t>
      </w:r>
      <w:r>
        <w:t xml:space="preserve"> </w:t>
      </w:r>
      <w:r>
        <w:t xml:space="preserve">Given the significant impact of the use phase, prioritize efforts to reduce the product\'s energy consumption during its operational life. This could involve exploring more energy-efficient components, integrating smart energy-saving features, or designing for lower power modes.</w:t>
      </w:r>
    </w:p>
    <w:p>
      <w:pPr>
        <w:numPr>
          <w:ilvl w:val="0"/>
          <w:numId w:val="1014"/>
        </w:numPr>
        <w:pStyle w:val="Compact"/>
      </w:pPr>
      <w:r>
        <w:rPr>
          <w:bCs/>
          <w:b/>
        </w:rPr>
        <w:t xml:space="preserve">Source Low-Carbon Materials:</w:t>
      </w:r>
      <w:r>
        <w:t xml:space="preserve"> </w:t>
      </w:r>
      <w:r>
        <w:t xml:space="preserve">Investigate opportunities to procure materials with lower embedded carbon. For instance, explore steel with higher recycled content or produced using electric arc furnaces, plastics from recycled feedstock or bio-based alternatives, and electronics with improved manufacturing practices. Engaging with suppliers to obtain their specific PCF data (supplier-specific emission factors) will enhance accuracy and drive upstream decarbonization.</w:t>
      </w:r>
    </w:p>
    <w:p>
      <w:pPr>
        <w:numPr>
          <w:ilvl w:val="0"/>
          <w:numId w:val="1014"/>
        </w:numPr>
        <w:pStyle w:val="Compact"/>
      </w:pPr>
      <w:r>
        <w:rPr>
          <w:bCs/>
          <w:b/>
        </w:rPr>
        <w:t xml:space="preserve">Enhance Renewable Energy in Manufacturing:</w:t>
      </w:r>
      <w:r>
        <w:t xml:space="preserve"> </w:t>
      </w:r>
      <w:r>
        <w:t xml:space="preserve">While 60% renewable energy is commendable, strive to increase this percentage further towards 100% renewable electricity at the production facility in China. Consider on-site renewable energy generation or participation in high-quality renewable energy purchasing agreements (e.g., Power Purchase Agreements).</w:t>
      </w:r>
    </w:p>
    <w:p>
      <w:pPr>
        <w:numPr>
          <w:ilvl w:val="0"/>
          <w:numId w:val="1014"/>
        </w:numPr>
        <w:pStyle w:val="Compact"/>
      </w:pPr>
      <w:r>
        <w:rPr>
          <w:bCs/>
          <w:b/>
        </w:rPr>
        <w:t xml:space="preserve">Strengthen Circular Economy Initiatives:</w:t>
      </w:r>
      <w:r>
        <w:t xml:space="preserve"> </w:t>
      </w:r>
      <w:r>
        <w:t xml:space="preserve">Leverage the existing circular/take-back programs (`hqqxqwqifi`) to maximize the actual recycling and refurbishment rates. Develop clear end-of-life instructions for consumers and explore design-for-disassembly to facilitate material recovery. Expanding take-back logistics could also lead to higher collection and recycling rates, potentially generating avoided emissions credits.</w:t>
      </w:r>
    </w:p>
    <w:p>
      <w:pPr>
        <w:numPr>
          <w:ilvl w:val="0"/>
          <w:numId w:val="1014"/>
        </w:numPr>
        <w:pStyle w:val="Compact"/>
      </w:pPr>
      <w:r>
        <w:rPr>
          <w:bCs/>
          <w:b/>
        </w:rPr>
        <w:t xml:space="preserve">Optimize Logistics:</w:t>
      </w:r>
      <w:r>
        <w:t xml:space="preserve"> </w:t>
      </w:r>
      <w:r>
        <w:t xml:space="preserve">Continuously evaluate transportation modes and routes. Explore options like rail or sea freight for longer distances in the upstream supply chain where feasible, as they often have lower emissions per tonne-km than road freight. Optimize loading efficiencies and investigate electric or alternative fuel vehicles for last-mile delivery.</w:t>
      </w:r>
    </w:p>
    <w:p>
      <w:r>
        <w:pict>
          <v:rect style="width:0;height:1.5pt" o:hralign="center" o:hrstd="t" o:hr="t"/>
        </w:pict>
      </w:r>
    </w:p>
    <w:p>
      <w:pPr>
        <w:pStyle w:val="FirstParagraph"/>
      </w:pPr>
      <w:r>
        <w:t xml:space="preserve">Confidential - Internal Use Only | Page</w:t>
      </w:r>
      <w:r>
        <w:t xml:space="preserve"> </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siezxhtopw</dc:title>
  <dc:creator/>
  <dc:description>High-detail Product Carbon Footprint (PCF) analysis report for siezxhtopw, performed by Senior Sustainability Consultant zishmjgtwf, adhering to GHG Protocol standards and 2026 LSR updates.</dc:description>
  <dc:language>en</dc:language>
  <cp:keywords/>
  <dcterms:created xsi:type="dcterms:W3CDTF">2026-05-30T20:04:42Z</dcterms:created>
  <dcterms:modified xsi:type="dcterms:W3CDTF">2026-05-30T20:04:42Z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