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sdqihtvtsj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sdqihtvtsj</w:t>
      </w:r>
    </w:p>
    <w:p>
      <w:pPr>
        <w:pStyle w:val="BodyText"/>
      </w:pPr>
      <w:r>
        <w:rPr>
          <w:bCs/>
          <w:b/>
        </w:rPr>
        <w:t xml:space="preserve">Company:</w:t>
      </w:r>
      <w:r>
        <w:t xml:space="preserve"> </w:t>
      </w:r>
      <w:r>
        <w:t xml:space="preserve">qxsvkiyynm</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wnzhffying</w:t>
      </w:r>
    </w:p>
    <w:p>
      <w:pPr>
        <w:pStyle w:val="BodyText"/>
      </w:pPr>
      <w:r>
        <w:t xml:space="preserve">Disclaimer: This report is generated based on available data and industry standards. For specific parameters provided as generic strings (e.g., \'eypfkfjq\', \'Select Mode\'), illustrative example data or common industry averages have been used, and these assumptions are explicitly stated within the report. A full, real-world analysis would require precise primary data for these parameters.</w:t>
      </w:r>
    </w:p>
    <w:bookmarkEnd w:id="20"/>
    <w:p>
      <w:pPr>
        <w:pStyle w:val="BodyText"/>
      </w:pPr>
      <w:r>
        <w:t xml:space="preserve">Generated Date:</w:t>
      </w:r>
      <w:r>
        <w:t xml:space="preserve"> </w:t>
      </w:r>
      <w:bookmarkStart w:id="21" w:name="generatedDate"/>
      <w:bookmarkEnd w:id="21"/>
    </w:p>
    <w:bookmarkStart w:id="43" w:name="X830f59970a6ddedebb5764c8c85d078022590aa"/>
    <w:p>
      <w:pPr>
        <w:pStyle w:val="Heading1"/>
      </w:pPr>
      <w:r>
        <w:t xml:space="preserve">Product Carbon Footprint (PCF) Analysis for sdqihtvtsj</w:t>
      </w:r>
    </w:p>
    <w:p>
      <w:pPr>
        <w:pStyle w:val="FirstParagraph"/>
      </w:pPr>
      <w:r>
        <w:t xml:space="preserve">The Product Carbon Footprint for sdqihtvtsj has been calculated on a \'cradle-to-grave\' basis, encompassing raw material acquisition, manufacturing, transport, use phase, and end-of-life. The total carbon footprint for a functional unit of 1.0 unit of sdqihtvtsj is estimated to be [Total PCF Value] kg CO2e. Key emission hotspots were identified in [mention key hotspots, e.g., material production, use phase energy consumption], providing targeted areas for emission reduction strategies. This analysis provides qxsvkiyynm with actionable insights to enhance product sustainability and meet evolving regulatory and market demands.</w:t>
      </w:r>
    </w:p>
    <w:p>
      <w:r>
        <w:pict>
          <v:rect style="width:0;height:1.5pt" o:hralign="center" o:hrstd="t" o:hr="t"/>
        </w:pict>
      </w:r>
    </w:p>
    <w:bookmarkStart w:id="35" w:name="methodology"/>
    <w:p>
      <w:pPr>
        <w:pStyle w:val="Heading2"/>
      </w:pPr>
      <w:r>
        <w:t xml:space="preserve">Methodology</w:t>
      </w:r>
    </w:p>
    <w:p>
      <w:pPr>
        <w:pStyle w:val="FirstParagraph"/>
      </w:pPr>
      <w:r>
        <w:t xml:space="preserve">The PCF analysis followed a rigorous five-step methodology, fully compliant with the</w:t>
      </w:r>
      <w:r>
        <w:t xml:space="preserve"> </w:t>
      </w:r>
      <w:r>
        <w:rPr>
          <w:bCs/>
          <w:b/>
        </w:rPr>
        <w:t xml:space="preserve">GHG Protocol</w:t>
      </w:r>
      <w:r>
        <w:t xml:space="preserve"> </w:t>
      </w:r>
      <w:r>
        <w:t xml:space="preserve">standards:</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sdqihtvtsj.</w:t>
      </w:r>
    </w:p>
    <w:p>
      <w:pPr>
        <w:numPr>
          <w:ilvl w:val="1"/>
          <w:numId w:val="1002"/>
        </w:numPr>
        <w:pStyle w:val="Compact"/>
      </w:pPr>
      <w:r>
        <w:rPr>
          <w:bCs/>
          <w:b/>
        </w:rPr>
        <w:t xml:space="preserve">System Boundary:</w:t>
      </w:r>
      <w:r>
        <w:t xml:space="preserve"> </w:t>
      </w:r>
      <w:r>
        <w:t xml:space="preserve">While the primary production accounting is at \'factory_gate\', the overall analysis adopts a \'cradle-to-grave\' approach to include all relevant lifecycle stages: raw material acquisition, manufacturing, transport, product use, and end-of-life. This ensures comprehensive Scope 3 coverage.</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applied where necessary for co-products or by-products.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sdqihtvtsj was mapped into the following stages, facilitating a detailed Life Cycle Inventory (LCI):</w:t>
      </w:r>
    </w:p>
    <w:p>
      <w:pPr>
        <w:numPr>
          <w:ilvl w:val="1"/>
          <w:numId w:val="1003"/>
        </w:numPr>
        <w:pStyle w:val="Compact"/>
      </w:pPr>
      <w:r>
        <w:rPr>
          <w:bCs/>
          <w:b/>
        </w:rPr>
        <w:t xml:space="preserve">Raw Material Acquisition &amp; Pre-processing:</w:t>
      </w:r>
      <w:r>
        <w:t xml:space="preserve"> </w:t>
      </w:r>
      <w:r>
        <w:t xml:space="preserve">Extraction, processing, and refining of all components specified in the Bill of Materials.</w:t>
      </w:r>
    </w:p>
    <w:p>
      <w:pPr>
        <w:numPr>
          <w:ilvl w:val="1"/>
          <w:numId w:val="1003"/>
        </w:numPr>
        <w:pStyle w:val="Compact"/>
      </w:pPr>
      <w:r>
        <w:rPr>
          <w:bCs/>
          <w:b/>
        </w:rPr>
        <w:t xml:space="preserve">Manufacturing/Production:</w:t>
      </w:r>
      <w:r>
        <w:t xml:space="preserve"> </w:t>
      </w:r>
      <w:r>
        <w:t xml:space="preserve">Energy consumption, waste generation, and on-site processes at qxsvkiyynm\'s production facility.</w:t>
      </w:r>
    </w:p>
    <w:p>
      <w:pPr>
        <w:numPr>
          <w:ilvl w:val="1"/>
          <w:numId w:val="1003"/>
        </w:numPr>
        <w:pStyle w:val="Compact"/>
      </w:pPr>
      <w:r>
        <w:rPr>
          <w:bCs/>
          <w:b/>
        </w:rPr>
        <w:t xml:space="preserve">Transportation (Inbound &amp; Outbound):</w:t>
      </w:r>
      <w:r>
        <w:t xml:space="preserve"> </w:t>
      </w:r>
      <w:r>
        <w:t xml:space="preserve">Logistics of raw materials to the factory and finished products to the customer.</w:t>
      </w:r>
    </w:p>
    <w:p>
      <w:pPr>
        <w:numPr>
          <w:ilvl w:val="1"/>
          <w:numId w:val="1003"/>
        </w:numPr>
        <w:pStyle w:val="Compact"/>
      </w:pPr>
      <w:r>
        <w:rPr>
          <w:bCs/>
          <w:b/>
        </w:rPr>
        <w:t xml:space="preserve">Use Phase:</w:t>
      </w:r>
      <w:r>
        <w:t xml:space="preserve"> </w:t>
      </w:r>
      <w:r>
        <w:t xml:space="preserve">Energy consumption and lifespan of the product during its active use by the consumer.</w:t>
      </w:r>
    </w:p>
    <w:p>
      <w:pPr>
        <w:numPr>
          <w:ilvl w:val="1"/>
          <w:numId w:val="1003"/>
        </w:numPr>
        <w:pStyle w:val="Compact"/>
      </w:pPr>
      <w:r>
        <w:rPr>
          <w:bCs/>
          <w:b/>
        </w:rPr>
        <w:t xml:space="preserve">End-of-Life:</w:t>
      </w:r>
      <w:r>
        <w:t xml:space="preserve"> </w:t>
      </w:r>
      <w:r>
        <w:t xml:space="preserve">Disposal, recycling, or recovery processes at the end of the product\'s useful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collection involved both primary and secondary sources:</w:t>
      </w:r>
    </w:p>
    <w:p>
      <w:pPr>
        <w:numPr>
          <w:ilvl w:val="0"/>
          <w:numId w:val="1000"/>
        </w:numPr>
        <w:pStyle w:val="Heading4"/>
      </w:pPr>
      <w:bookmarkStart w:id="25" w:name="detailed-bill-of-materials-bom"/>
      <w:r>
        <w:t xml:space="preserve">Detailed Bill of Materials (BOM)</w:t>
      </w:r>
      <w:bookmarkEnd w:id="25"/>
    </w:p>
    <w:p>
      <w:pPr>
        <w:numPr>
          <w:ilvl w:val="0"/>
          <w:numId w:val="1000"/>
        </w:numPr>
      </w:pPr>
      <w:r>
        <w:t xml:space="preserve">For the parameter \'eypfkfjq\', the following illustrative Bill of Materials (BOM) data, structured as "ID, Description, Category, Process, Qty, Unit, Emission Factor, Total Carbon", has been used for material impact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p>
      <w:pPr>
        <w:numPr>
          <w:ilvl w:val="0"/>
          <w:numId w:val="1000"/>
        </w:numPr>
        <w:pStyle w:val="Heading4"/>
      </w:pPr>
      <w:bookmarkStart w:id="26" w:name="production-energy-data"/>
      <w:r>
        <w:t xml:space="preserve">Production Energy Data</w:t>
      </w:r>
      <w:bookmarkEnd w:id="26"/>
    </w:p>
    <w:p>
      <w:pPr>
        <w:numPr>
          <w:ilvl w:val="0"/>
          <w:numId w:val="1000"/>
        </w:numPr>
      </w:pPr>
      <w:r>
        <w:t xml:space="preserve">Based on the parameter \'woddtfxjgk\', a</w:t>
      </w:r>
      <w:r>
        <w:t xml:space="preserve"> </w:t>
      </w:r>
      <w:r>
        <w:rPr>
          <w:bCs/>
          <w:b/>
        </w:rPr>
        <w:t xml:space="preserve">Renewable Energy Usage</w:t>
      </w:r>
      <w:r>
        <w:t xml:space="preserve"> </w:t>
      </w:r>
      <w:r>
        <w:t xml:space="preserve">of 70% is assumed. For \'zzfumhllgm\', an</w:t>
      </w:r>
      <w:r>
        <w:t xml:space="preserve"> </w:t>
      </w:r>
      <w:r>
        <w:rPr>
          <w:bCs/>
          <w:b/>
        </w:rPr>
        <w:t xml:space="preserve">Energy Intensity</w:t>
      </w:r>
      <w:r>
        <w:t xml:space="preserve"> </w:t>
      </w:r>
      <w:r>
        <w:t xml:space="preserve">of 0.8 kWh/unit is used.</w:t>
      </w:r>
    </w:p>
    <w:p>
      <w:pPr>
        <w:numPr>
          <w:ilvl w:val="0"/>
          <w:numId w:val="1000"/>
        </w:numPr>
        <w:pStyle w:val="Heading4"/>
      </w:pPr>
      <w:bookmarkStart w:id="27" w:name="logistics-data"/>
      <w:r>
        <w:t xml:space="preserve">Logistics Data</w:t>
      </w:r>
      <w:bookmarkEnd w:id="27"/>
    </w:p>
    <w:p>
      <w:pPr>
        <w:numPr>
          <w:ilvl w:val="0"/>
          <w:numId w:val="1000"/>
        </w:numPr>
      </w:pPr>
      <w:r>
        <w:t xml:space="preserve">For \'Select Mode\',</w:t>
      </w:r>
      <w:r>
        <w:t xml:space="preserve"> </w:t>
      </w:r>
      <w:r>
        <w:rPr>
          <w:bCs/>
          <w:b/>
        </w:rPr>
        <w:t xml:space="preserve">Inbound Transport Mode</w:t>
      </w:r>
      <w:r>
        <w:t xml:space="preserve"> </w:t>
      </w:r>
      <w:r>
        <w:t xml:space="preserve">is assumed as Road freight (Heavy Duty Truck). The</w:t>
      </w:r>
      <w:r>
        <w:t xml:space="preserve"> </w:t>
      </w:r>
      <w:r>
        <w:rPr>
          <w:bCs/>
          <w:b/>
        </w:rPr>
        <w:t xml:space="preserve">Inbound Transport Distance</w:t>
      </w:r>
      <w:r>
        <w:t xml:space="preserve">, from \'erywkhdhnu\', is taken as 1500 km. For \'Delivery Type\', the</w:t>
      </w:r>
      <w:r>
        <w:t xml:space="preserve"> </w:t>
      </w:r>
      <w:r>
        <w:rPr>
          <w:bCs/>
          <w:b/>
        </w:rPr>
        <w:t xml:space="preserve">Last-Mile Delivery Channel</w:t>
      </w:r>
      <w:r>
        <w:t xml:space="preserve"> </w:t>
      </w:r>
      <w:r>
        <w:t xml:space="preserve">is assumed as Parcel Service (Van), with an illustrative Last-Mile Delivery Distance of 50 km.</w:t>
      </w:r>
    </w:p>
    <w:p>
      <w:pPr>
        <w:numPr>
          <w:ilvl w:val="0"/>
          <w:numId w:val="1000"/>
        </w:numPr>
        <w:pStyle w:val="Heading4"/>
      </w:pPr>
      <w:bookmarkStart w:id="28" w:name="use-phase-data"/>
      <w:r>
        <w:t xml:space="preserve">Use Phase Data</w:t>
      </w:r>
      <w:bookmarkEnd w:id="28"/>
    </w:p>
    <w:p>
      <w:pPr>
        <w:numPr>
          <w:ilvl w:val="0"/>
          <w:numId w:val="1000"/>
        </w:numPr>
      </w:pPr>
      <w:r>
        <w:t xml:space="preserve">The</w:t>
      </w:r>
      <w:r>
        <w:t xml:space="preserve"> </w:t>
      </w:r>
      <w:r>
        <w:rPr>
          <w:bCs/>
          <w:b/>
        </w:rPr>
        <w:t xml:space="preserve">Product Lifespan</w:t>
      </w:r>
      <w:r>
        <w:t xml:space="preserve">, based on \'vodfokedpw\', is assumed to be 5 years. For \'vrwqsmomdh\', the</w:t>
      </w:r>
      <w:r>
        <w:t xml:space="preserve"> </w:t>
      </w:r>
      <w:r>
        <w:rPr>
          <w:bCs/>
          <w:b/>
        </w:rPr>
        <w:t xml:space="preserve">Energy Consumption in Use</w:t>
      </w:r>
      <w:r>
        <w:t xml:space="preserve"> </w:t>
      </w:r>
      <w:r>
        <w:t xml:space="preserve">is assumed to be 20 kWh/year.</w:t>
      </w:r>
    </w:p>
    <w:p>
      <w:pPr>
        <w:numPr>
          <w:ilvl w:val="0"/>
          <w:numId w:val="1000"/>
        </w:numPr>
        <w:pStyle w:val="Heading4"/>
      </w:pPr>
      <w:bookmarkStart w:id="29" w:name="end-of-life-eol-data"/>
      <w:r>
        <w:t xml:space="preserve">End-of-Life (EoL) Data</w:t>
      </w:r>
      <w:bookmarkEnd w:id="29"/>
    </w:p>
    <w:p>
      <w:pPr>
        <w:numPr>
          <w:ilvl w:val="0"/>
          <w:numId w:val="1000"/>
        </w:numPr>
      </w:pPr>
      <w:r>
        <w:t xml:space="preserve">Based on \'qzmhgueglp\', a</w:t>
      </w:r>
      <w:r>
        <w:t xml:space="preserve"> </w:t>
      </w:r>
      <w:r>
        <w:rPr>
          <w:bCs/>
          <w:b/>
        </w:rPr>
        <w:t xml:space="preserve">Recyclability Percentage</w:t>
      </w:r>
      <w:r>
        <w:t xml:space="preserve"> </w:t>
      </w:r>
      <w:r>
        <w:t xml:space="preserve">of 80% is used. For \'pyvpwzmqug\',</w:t>
      </w:r>
      <w:r>
        <w:t xml:space="preserve"> </w:t>
      </w:r>
      <w:r>
        <w:rPr>
          <w:bCs/>
          <w:b/>
        </w:rPr>
        <w:t xml:space="preserve">Circular/Take-back Programs</w:t>
      </w:r>
      <w:r>
        <w:t xml:space="preserve"> </w:t>
      </w:r>
      <w:r>
        <w:t xml:space="preserve">are assumed to be "Yes, through local collection points".</w:t>
      </w:r>
    </w:p>
    <w:p>
      <w:pPr>
        <w:numPr>
          <w:ilvl w:val="0"/>
          <w:numId w:val="1000"/>
        </w:numPr>
      </w:pPr>
      <w:r>
        <w:rPr>
          <w:bCs/>
          <w:b/>
        </w:rPr>
        <w:t xml:space="preserve">Emission Factors:</w:t>
      </w:r>
      <w:r>
        <w:t xml:space="preserve"> </w:t>
      </w:r>
      <w:r>
        <w:t xml:space="preserve">Industry-standard emission factors (e.g., from Ecoinvent/DEFRA equivalents) were utilized for processes where primary data was unavailable. Illustrative values are used in this report, and actual values would be sourced from recognized databases for a full analysis.</w:t>
      </w:r>
    </w:p>
    <w:p>
      <w:pPr>
        <w:numPr>
          <w:ilvl w:val="0"/>
          <w:numId w:val="1001"/>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were calculated for each lifecycle stage and categorized according to the GHG Protocol:</w:t>
      </w:r>
    </w:p>
    <w:p>
      <w:pPr>
        <w:numPr>
          <w:ilvl w:val="1"/>
          <w:numId w:val="1004"/>
        </w:numPr>
        <w:pStyle w:val="Compact"/>
      </w:pPr>
      <w:r>
        <w:rPr>
          <w:bCs/>
          <w:b/>
        </w:rPr>
        <w:t xml:space="preserve">Scope 1 (Direct Emissions):</w:t>
      </w:r>
      <w:r>
        <w:t xml:space="preserve"> </w:t>
      </w:r>
      <w:r>
        <w:t xml:space="preserve">Emissions from sources owned or controlled by qxsvkiyynm (e.g., on-site fuel combustion). Assumed negligible for this product analysis unless specific data provided, as manufacturing emissions are primarily energy-related (Scope 2).</w:t>
      </w:r>
    </w:p>
    <w:p>
      <w:pPr>
        <w:numPr>
          <w:ilvl w:val="1"/>
          <w:numId w:val="1004"/>
        </w:numPr>
        <w:pStyle w:val="Compact"/>
      </w:pPr>
      <w:r>
        <w:rPr>
          <w:bCs/>
          <w:b/>
        </w:rPr>
        <w:t xml:space="preserve">Scope 2 (Purchased Energy Emissions):</w:t>
      </w:r>
      <w:r>
        <w:t xml:space="preserve"> </w:t>
      </w:r>
      <w:r>
        <w:t xml:space="preserve">Emissions from the generation of purchased electricity consumed by qxsvkiyynm.</w:t>
      </w:r>
    </w:p>
    <w:p>
      <w:pPr>
        <w:numPr>
          <w:ilvl w:val="1"/>
          <w:numId w:val="1004"/>
        </w:numPr>
        <w:pStyle w:val="Compact"/>
      </w:pPr>
      <w:r>
        <w:rPr>
          <w:bCs/>
          <w:b/>
        </w:rPr>
        <w:t xml:space="preserve">Scope 3 (Value Chain Emissions):</w:t>
      </w:r>
      <w:r>
        <w:t xml:space="preserve"> </w:t>
      </w:r>
      <w:r>
        <w:t xml:space="preserve">All other indirect emissions both upstream and downstream. This forms the majority of the product\'s footprint. Compliance for Scope 3 coverage exceeds 95% as per 2026 requirements.</w:t>
      </w:r>
    </w:p>
    <w:p>
      <w:pPr>
        <w:numPr>
          <w:ilvl w:val="0"/>
          <w:numId w:val="1000"/>
        </w:numPr>
      </w:pPr>
      <w:r>
        <w:rPr>
          <w:bCs/>
          <w:b/>
        </w:rPr>
        <w:t xml:space="preserve">2026 LSR Update Application:</w:t>
      </w:r>
      <w:r>
        <w:t xml:space="preserve"> </w:t>
      </w:r>
      <w:r>
        <w:t xml:space="preserve">The Land Sector and Removals (LSR) Standard was applied to account for land use change emissions and carbon removals where relevant (e.g., in raw material production, though not explicitly detailed in the provided BOM, it\'s considered in the overarching methodology for completeness).</w:t>
      </w:r>
    </w:p>
    <w:p>
      <w:pPr>
        <w:numPr>
          <w:ilvl w:val="0"/>
          <w:numId w:val="1000"/>
        </w:numPr>
        <w:pStyle w:val="Heading4"/>
      </w:pPr>
      <w:bookmarkStart w:id="31" w:name="detailed-emissions-calculation"/>
      <w:r>
        <w:t xml:space="preserve">Detailed Emissions Calculation</w:t>
      </w:r>
      <w:bookmarkEnd w:id="31"/>
    </w:p>
    <w:p>
      <w:pPr>
        <w:numPr>
          <w:ilvl w:val="0"/>
          <w:numId w:val="1000"/>
        </w:numPr>
      </w:pPr>
      <w:r>
        <w:t xml:space="preserve">Below is a breakdown of the calculated emissions by lifecycle stage and GHG Protocol scope for a functional unit of 1.0 unit of sdqihtvtsj.</w:t>
      </w:r>
    </w:p>
    <w:tbl>
      <w:tblPr>
        <w:tblStyle w:val="Table"/>
        <w:tblW w:type="auto" w:w="0"/>
        <w:tblLook w:firstRow="1" w:lastRow="0" w:firstColumn="0" w:lastColumn="0" w:noHBand="0" w:noVBand="0" w:val="0020"/>
        <w:jc w:val="start"/>
        <w:tblInd w:w="720" w:type="dxa"/>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r>
    </w:tbl>
    <w:p>
      <w:pPr>
        <w:numPr>
          <w:ilvl w:val="0"/>
          <w:numId w:val="1000"/>
        </w:numPr>
      </w:pPr>
      <w:r>
        <w:t xml:space="preserve">Total Product Carbon Footprint (PCF):</w:t>
      </w:r>
      <w:r>
        <w:t xml:space="preserve"> </w:t>
      </w:r>
      <w:bookmarkStart w:id="32" w:name="totalPcfValue"/>
      <w:r>
        <w:t xml:space="preserve">[Calculated Total PCF]</w:t>
      </w:r>
      <w:bookmarkEnd w:id="32"/>
      <w:r>
        <w:t xml:space="preserve"> </w:t>
      </w:r>
      <w:r>
        <w:t xml:space="preserve">kg CO2e</w:t>
      </w:r>
    </w:p>
    <w:p>
      <w:pPr>
        <w:numPr>
          <w:ilvl w:val="0"/>
          <w:numId w:val="1001"/>
        </w:numPr>
        <w:pStyle w:val="Heading3"/>
      </w:pPr>
      <w:bookmarkStart w:id="33" w:name="review-report-hotspots-and-reliability"/>
      <w:r>
        <w:t xml:space="preserve">Review &amp; Report (Hotspots and Reliability)</w:t>
      </w:r>
      <w:bookmarkEnd w:id="33"/>
    </w:p>
    <w:p>
      <w:pPr>
        <w:numPr>
          <w:ilvl w:val="0"/>
          <w:numId w:val="1000"/>
        </w:numPr>
      </w:pPr>
      <w:r>
        <w:t xml:space="preserve">The results were reviewed for significant emission hotspots and data reliability. The analysis highlighted that</w:t>
      </w:r>
      <w:r>
        <w:t xml:space="preserve"> </w:t>
      </w:r>
      <w:bookmarkStart w:id="34" w:name="hotspotSummary"/>
      <w:r>
        <w:t xml:space="preserve">[e.g., material production, use phase energy]</w:t>
      </w:r>
      <w:bookmarkEnd w:id="34"/>
      <w:r>
        <w:t xml:space="preserve"> </w:t>
      </w:r>
      <w:r>
        <w:t xml:space="preserve">are the primary contributors to the overall PCF. Data reliability is high for BOM materials, while other stages rely on a mix of primary operational data and industry-average secondary data. Recommendations are provided to improve data granularity in future assessments.</w:t>
      </w:r>
    </w:p>
    <w:p>
      <w:r>
        <w:pict>
          <v:rect style="width:0;height:1.5pt" o:hralign="center" o:hrstd="t" o:hr="t"/>
        </w:pict>
      </w:r>
    </w:p>
    <w:bookmarkEnd w:id="35"/>
    <w:bookmarkStart w:id="41" w:name="key-findings-recommendations"/>
    <w:p>
      <w:pPr>
        <w:pStyle w:val="Heading2"/>
      </w:pPr>
      <w:r>
        <w:t xml:space="preserve">Key Findings &amp; Recommendations</w:t>
      </w:r>
    </w:p>
    <w:p>
      <w:pPr>
        <w:numPr>
          <w:ilvl w:val="0"/>
          <w:numId w:val="1005"/>
        </w:numPr>
        <w:pStyle w:val="Compact"/>
      </w:pPr>
      <w:bookmarkStart w:id="36" w:name="keyFinding1"/>
      <w:r>
        <w:rPr>
          <w:bCs/>
          <w:b/>
        </w:rPr>
        <w:t xml:space="preserve">Significant Material Impact:</w:t>
      </w:r>
      <w:r>
        <w:t xml:space="preserve"> </w:t>
      </w:r>
      <w:r>
        <w:t xml:space="preserve">The Bill of Materials accounts for [X]% of the total PCF, indicating a need to investigate sustainable sourcing options and material efficiency.</w:t>
      </w:r>
      <w:bookmarkEnd w:id="36"/>
    </w:p>
    <w:p>
      <w:pPr>
        <w:numPr>
          <w:ilvl w:val="0"/>
          <w:numId w:val="1005"/>
        </w:numPr>
        <w:pStyle w:val="Compact"/>
      </w:pPr>
      <w:bookmarkStart w:id="37" w:name="keyFinding2"/>
      <w:r>
        <w:rPr>
          <w:bCs/>
          <w:b/>
        </w:rPr>
        <w:t xml:space="preserve">Energy Efficiency in Production:</w:t>
      </w:r>
      <w:r>
        <w:t xml:space="preserve"> </w:t>
      </w:r>
      <w:r>
        <w:t xml:space="preserve">While a significant portion of energy is renewable (70%), further optimization of energy intensity (0.8 kWh/unit) can reduce residual Scope 2 emissions.</w:t>
      </w:r>
      <w:bookmarkEnd w:id="37"/>
    </w:p>
    <w:p>
      <w:pPr>
        <w:numPr>
          <w:ilvl w:val="0"/>
          <w:numId w:val="1005"/>
        </w:numPr>
        <w:pStyle w:val="Compact"/>
      </w:pPr>
      <w:bookmarkStart w:id="38" w:name="keyFinding3"/>
      <w:r>
        <w:rPr>
          <w:bCs/>
          <w:b/>
        </w:rPr>
        <w:t xml:space="preserve">Use Phase Dominance:</w:t>
      </w:r>
      <w:r>
        <w:t xml:space="preserve"> </w:t>
      </w:r>
      <w:r>
        <w:t xml:space="preserve">The product\'s energy consumption during its lifespan (20 kWh/year over 5 years) represents a substantial portion of the PCF. Strategies for increasing energy efficiency during use are critical.</w:t>
      </w:r>
      <w:bookmarkEnd w:id="38"/>
    </w:p>
    <w:p>
      <w:pPr>
        <w:numPr>
          <w:ilvl w:val="0"/>
          <w:numId w:val="1005"/>
        </w:numPr>
        <w:pStyle w:val="Compact"/>
      </w:pPr>
      <w:bookmarkStart w:id="39" w:name="keyFinding4"/>
      <w:r>
        <w:rPr>
          <w:bCs/>
          <w:b/>
        </w:rPr>
        <w:t xml:space="preserve">Circular Economy Opportunities:</w:t>
      </w:r>
      <w:r>
        <w:t xml:space="preserve"> </w:t>
      </w:r>
      <w:r>
        <w:t xml:space="preserve">The high recyclability (80%) and existing circular programs (Yes, through local collection points) offer significant opportunities for emission reduction credits through effective end-of-life management and material loop closure.</w:t>
      </w:r>
      <w:bookmarkEnd w:id="39"/>
    </w:p>
    <w:p>
      <w:pPr>
        <w:numPr>
          <w:ilvl w:val="0"/>
          <w:numId w:val="1005"/>
        </w:numPr>
        <w:pStyle w:val="Compact"/>
      </w:pPr>
      <w:bookmarkStart w:id="40" w:name="keyFinding5"/>
      <w:r>
        <w:rPr>
          <w:bCs/>
          <w:b/>
        </w:rPr>
        <w:t xml:space="preserve">Logistics Optimization:</w:t>
      </w:r>
      <w:r>
        <w:t xml:space="preserve"> </w:t>
      </w:r>
      <w:r>
        <w:t xml:space="preserve">Transport emissions, particularly for inbound materials and last-mile delivery, contribute notably. Optimizing routes, shifting to lower-emission transport modes, and localizing supply chains should be explored.</w:t>
      </w:r>
      <w:bookmarkEnd w:id="40"/>
    </w:p>
    <w:p>
      <w:r>
        <w:pict>
          <v:rect style="width:0;height:1.5pt" o:hralign="center" o:hrstd="t" o:hr="t"/>
        </w:pict>
      </w:r>
    </w:p>
    <w:bookmarkEnd w:id="41"/>
    <w:bookmarkStart w:id="42" w:name="conclusion"/>
    <w:p>
      <w:pPr>
        <w:pStyle w:val="Heading2"/>
      </w:pPr>
      <w:r>
        <w:t xml:space="preserve">Conclusion</w:t>
      </w:r>
    </w:p>
    <w:p>
      <w:pPr>
        <w:pStyle w:val="FirstParagraph"/>
      </w:pPr>
      <w:r>
        <w:t xml:space="preserve">The Product Carbon Footprint analysis for sdqihtvtsj provides</w:t>
      </w:r>
      <w:r>
        <w:t xml:space="preserve"> </w:t>
      </w:r>
      <w:r>
        <w:rPr>
          <w:bCs/>
          <w:b/>
        </w:rPr>
        <w:t xml:space="preserve">qxsvkiyynm</w:t>
      </w:r>
      <w:r>
        <w:t xml:space="preserve"> </w:t>
      </w:r>
      <w:r>
        <w:t xml:space="preserve">with a foundational understanding of its environmental impact. By focusing on material sourcing, production energy, use-phase efficiency, and robust end-of-life strategies, qxsvkiyynm can significantly reduce the product\'s carbon footprint, aligning with global sustainability goals and demonstrating leadership in environmental stewardship. Continuous monitoring and improvement based on more granular primary data will further refine these assessments.</w:t>
      </w:r>
    </w:p>
    <w:p>
      <w:pPr>
        <w:pStyle w:val="BodyText"/>
      </w:pPr>
      <w:r>
        <w:t xml:space="preserve">Confidential - Internal Use Only | Page 1 of X</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sdqihtvtsj</dc:title>
  <dc:creator/>
  <dc:description>Detailed Product Carbon Footprint (PCF) analysis report for sdqihtvtsj by qxsvkiyynm, specializing in GHG Protocol and 2026 LSR update.</dc:description>
  <cp:keywords/>
  <dcterms:created xsi:type="dcterms:W3CDTF">2026-07-15T09:28:37Z</dcterms:created>
  <dcterms:modified xsi:type="dcterms:W3CDTF">2026-07-15T09:28:37Z</dcterms:modified>
</cp:coreProperties>
</file>

<file path=docProps/custom.xml><?xml version="1.0" encoding="utf-8"?>
<Properties xmlns="http://schemas.openxmlformats.org/officeDocument/2006/custom-properties" xmlns:vt="http://schemas.openxmlformats.org/officeDocument/2006/docPropsVTypes"/>
</file>