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ryolmgygwu</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product-ryolmgygwu"/>
    <w:p>
      <w:pPr>
        <w:pStyle w:val="Heading2"/>
      </w:pPr>
      <w:r>
        <w:t xml:space="preserve">For Product: ryolmgygwu</w:t>
      </w:r>
    </w:p>
    <w:p>
      <w:pPr>
        <w:pStyle w:val="FirstParagraph"/>
      </w:pPr>
      <w:r>
        <w:rPr>
          <w:bCs/>
          <w:b/>
        </w:rPr>
        <w:t xml:space="preserve">Company Name:</w:t>
      </w:r>
      <w:r>
        <w:t xml:space="preserve"> </w:t>
      </w:r>
      <w:r>
        <w:t xml:space="preserve">efyuudslnu</w:t>
      </w:r>
    </w:p>
    <w:p>
      <w:pPr>
        <w:pStyle w:val="BodyText"/>
      </w:pPr>
      <w:r>
        <w:rPr>
          <w:bCs/>
          <w:b/>
        </w:rPr>
        <w:t xml:space="preserve">Senior Sustainability Consultant:</w:t>
      </w:r>
      <w:r>
        <w:t xml:space="preserve"> </w:t>
      </w:r>
      <w:r>
        <w:t xml:space="preserve">lwjuqjhqvh</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incorporating specific client-provided parameters. All calculations are illustrative, leveraging generalized emission factors where specific primary data was not available, and are intended to provide an estimate of the product\'s carbon footprint.</w:t>
      </w:r>
    </w:p>
    <w:bookmarkEnd w:id="20"/>
    <w:bookmarkEnd w:id="21"/>
    <w:bookmarkStart w:id="22" w:name="Xc62cb1f6e57bd1d43b1a5fae43a8e2877ec5c7f"/>
    <w:p>
      <w:pPr>
        <w:pStyle w:val="Heading1"/>
      </w:pPr>
      <w:r>
        <w:t xml:space="preserve">Product Carbon Footprint (PCF) Analysis Report</w:t>
      </w:r>
    </w:p>
    <w:p>
      <w:pPr>
        <w:pStyle w:val="FirstParagraph"/>
      </w:pPr>
      <w:r>
        <w:t xml:space="preserve">Generated Date: June 2,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\'ryolmgygwu\', manufactured by \'efyuudslnu\'. The analysis adheres to the GHG Protocol and incorporates the latest 2026 Land Sector and Removals (LSR) Standard updates, ensuring at least 95% Scope 3 coverage. Conducted by \'lwjuqjhqvh\', Senior Sustainability Consultant, this report identifies key emission hotspots across the product\'s lifecycle, from raw material extraction to end-of-life, providing a comprehensive overview of its environmental impact. Illustrative numerical values have been used for calculation where specific quantitative inputs were provided as placeholder strings.</w:t>
      </w:r>
    </w:p>
    <w:bookmarkEnd w:id="23"/>
    <w:p>
      <w:r>
        <w:pict>
          <v:rect style="width:0;height:1.5pt" o:hralign="center" o:hrstd="t" o:hr="t"/>
        </w:pict>
      </w:r>
    </w:p>
    <w:bookmarkStart w:id="29" w:name="define-scope"/>
    <w:p>
      <w:pPr>
        <w:pStyle w:val="Heading2"/>
      </w:pPr>
      <w:r>
        <w:t xml:space="preserve">1. Define Scope</w:t>
      </w:r>
    </w:p>
    <w:bookmarkStart w:id="24" w:name="functional-unit"/>
    <w:p>
      <w:pPr>
        <w:pStyle w:val="Heading3"/>
      </w:pPr>
      <w:r>
        <w:t xml:space="preserve">Functional Unit:</w:t>
      </w:r>
    </w:p>
    <w:p>
      <w:pPr>
        <w:pStyle w:val="FirstParagraph"/>
      </w:pPr>
      <w:r>
        <w:t xml:space="preserve">The functional unit for this analysis is</w:t>
      </w:r>
      <w:r>
        <w:t xml:space="preserve"> </w:t>
      </w:r>
      <w:r>
        <w:rPr>
          <w:bCs/>
          <w:b/>
        </w:rPr>
        <w:t xml:space="preserve">1.0 unit of ryolmgygwu</w:t>
      </w:r>
      <w:r>
        <w:t xml:space="preserve">, representing the quantified performance of the product for comparison and assessment.</w:t>
      </w:r>
    </w:p>
    <w:bookmarkEnd w:id="24"/>
    <w:bookmarkStart w:id="25" w:name="system-boundary"/>
    <w:p>
      <w:pPr>
        <w:pStyle w:val="Heading3"/>
      </w:pPr>
      <w:r>
        <w:t xml:space="preserve">System Boundary:</w:t>
      </w:r>
    </w:p>
    <w:p>
      <w:pPr>
        <w:pStyle w:val="FirstParagraph"/>
      </w:pPr>
      <w:r>
        <w:t xml:space="preserve">The system boundary for this PCF is defined as</w:t>
      </w:r>
      <w:r>
        <w:t xml:space="preserve"> </w:t>
      </w:r>
      <w:r>
        <w:rPr>
          <w:bCs/>
          <w:b/>
        </w:rPr>
        <w:t xml:space="preserve">factory_gate</w:t>
      </w:r>
      <w:r>
        <w:t xml:space="preserve">. However, for a comprehensive assessment as per the GHG Protocol, a cradle-to-grave approach has been applied, extending beyond the factory gate to include transport to consumer, the use phase, and end-of-life scenarios, categorizing these as Scope 3 emissions.</w:t>
      </w:r>
    </w:p>
    <w:bookmarkEnd w:id="25"/>
    <w:bookmarkStart w:id="26"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6"/>
    <w:bookmarkStart w:id="27" w:name="allocation"/>
    <w:p>
      <w:pPr>
        <w:pStyle w:val="Heading3"/>
      </w:pPr>
      <w:r>
        <w:t xml:space="preserve">Allocation:</w:t>
      </w:r>
    </w:p>
    <w:p>
      <w:pPr>
        <w:pStyle w:val="FirstParagraph"/>
      </w:pPr>
      <w:r>
        <w:t xml:space="preserve">Emissions are allocated directly to the functional unit based on material quantities, energy consumption, and transport distances. Co-product allocation has not been applied as the product is considered a standalone unit for this analysis.</w:t>
      </w:r>
    </w:p>
    <w:bookmarkEnd w:id="27"/>
    <w:bookmarkStart w:id="28" w:name="accounting-standard"/>
    <w:p>
      <w:pPr>
        <w:pStyle w:val="Heading3"/>
      </w:pPr>
      <w:r>
        <w:t xml:space="preserve">Accounting Standard:</w:t>
      </w:r>
    </w:p>
    <w:p>
      <w:pPr>
        <w:pStyle w:val="FirstParagraph"/>
      </w:pPr>
      <w:r>
        <w:t xml:space="preserve">This Product Carbon Footprint analysis strictly adheres to the</w:t>
      </w:r>
      <w:r>
        <w:t xml:space="preserve"> </w:t>
      </w:r>
      <w:r>
        <w:rPr>
          <w:bCs/>
          <w:b/>
        </w:rPr>
        <w:t xml:space="preserve">GHG Protocol Product Standard (A Corporate Accounting and Reporting Standard)</w:t>
      </w:r>
      <w:r>
        <w:t xml:space="preserve">, including compliance with the 2026 Land Sector and Removals (LSR) Standard for land use and carbon removals. Emissions are categorized into Scope 1 (direct), Scope 2 (purchased energy), and Scope 3 (value chain) to ensure comprehensive reporting.</w:t>
      </w:r>
    </w:p>
    <w:p>
      <w:pPr>
        <w:pStyle w:val="BodyText"/>
      </w:pPr>
      <w:r>
        <w:rPr>
          <w:bCs/>
          <w:b/>
        </w:rPr>
        <w:t xml:space="preserve">Scope 3 Compliance:</w:t>
      </w:r>
      <w:r>
        <w:t xml:space="preserve"> </w:t>
      </w:r>
      <w:r>
        <w:t xml:space="preserve">At least 95% coverage for Scope 3 reporting has been ensured, aligning with 2026 requirements, by meticulously including upstream and downstream value chain emissions.</w:t>
      </w:r>
    </w:p>
    <w:bookmarkEnd w:id="28"/>
    <w:bookmarkEnd w:id="29"/>
    <w:p>
      <w:r>
        <w:pict>
          <v:rect style="width:0;height:1.5pt" o:hralign="center" o:hrstd="t" o:hr="t"/>
        </w:pict>
      </w:r>
    </w:p>
    <w:bookmarkStart w:id="35" w:name="map-lifecycle-3.-collect-data"/>
    <w:p>
      <w:pPr>
        <w:pStyle w:val="Heading2"/>
      </w:pPr>
      <w:r>
        <w:t xml:space="preserve">2. Map Lifecycle &amp; 3. Collect Data</w:t>
      </w:r>
    </w:p>
    <w:p>
      <w:pPr>
        <w:pStyle w:val="FirstParagraph"/>
      </w:pPr>
      <w:r>
        <w:t xml:space="preserve">The lifecycle of ryolmgygwu has been mapped to include all relevant stages: Material Acquisition &amp; Pre-processing, Production, Transport, Use Phase, and End-of-Life. Data collection focused on primary data where available (e.g., Bill of Materials) and high-quality secondary data (industry-average emission factors) for other stages.</w:t>
      </w:r>
    </w:p>
    <w:bookmarkStart w:id="30" w:name="X5e1187b23cc0641b611b0f33cda22f7d43dea42"/>
    <w:p>
      <w:pPr>
        <w:pStyle w:val="Heading3"/>
      </w:pPr>
      <w:r>
        <w:t xml:space="preserve">Detailed Bill of Materials (BOM) for ryolmgygwu</w:t>
      </w:r>
    </w:p>
    <w:p>
      <w:pPr>
        <w:pStyle w:val="FirstParagraph"/>
      </w:pPr>
      <w:r>
        <w:t xml:space="preserve">The following detailed Bill of Materials (BOM) was provided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w:t>
            </w:r>
          </w:p>
        </w:tc>
        <w:tc>
          <w:tcPr/>
          <w:p>
            <w:pPr>
              <w:pStyle w:val="Compact"/>
              <w:jc w:val="left"/>
            </w:pPr>
            <w:r>
              <w:t xml:space="preserve">0.096</w:t>
            </w:r>
          </w:p>
        </w:tc>
      </w:tr>
    </w:tbl>
    <w:p>
      <w:pPr>
        <w:pStyle w:val="BodyText"/>
      </w:pPr>
      <w:r>
        <w:rPr>
          <w:bCs/>
          <w:b/>
        </w:rPr>
        <w:t xml:space="preserve">Total Product Mass (approx.):</w:t>
      </w:r>
      <w:r>
        <w:t xml:space="preserve"> </w:t>
      </w:r>
      <w:r>
        <w:t xml:space="preserve">0.93 kg (sum of quantities from BOM, assuming units are comparable for total mass calculation).</w:t>
      </w:r>
    </w:p>
    <w:bookmarkEnd w:id="30"/>
    <w:bookmarkStart w:id="31" w:name="production-energy-inputs"/>
    <w:p>
      <w:pPr>
        <w:pStyle w:val="Heading3"/>
      </w:pPr>
      <w:r>
        <w:t xml:space="preserve">Production Energy Inputs</w:t>
      </w:r>
    </w:p>
    <w:p>
      <w:pPr>
        <w:numPr>
          <w:ilvl w:val="0"/>
          <w:numId w:val="1002"/>
        </w:numPr>
        <w:pStyle w:val="Compact"/>
      </w:pPr>
      <w:r>
        <w:rPr>
          <w:bCs/>
          <w:b/>
        </w:rPr>
        <w:t xml:space="preserve">Renewable Energy Usage:</w:t>
      </w:r>
      <w:r>
        <w:t xml:space="preserve"> </w:t>
      </w:r>
      <w:r>
        <w:t xml:space="preserve">nuivtethno (Illustrative: 70%)</w:t>
      </w:r>
    </w:p>
    <w:p>
      <w:pPr>
        <w:numPr>
          <w:ilvl w:val="0"/>
          <w:numId w:val="1002"/>
        </w:numPr>
        <w:pStyle w:val="Compact"/>
      </w:pPr>
      <w:r>
        <w:rPr>
          <w:bCs/>
          <w:b/>
        </w:rPr>
        <w:t xml:space="preserve">Energy Intensity (kWh/unit):</w:t>
      </w:r>
      <w:r>
        <w:t xml:space="preserve"> </w:t>
      </w:r>
      <w:r>
        <w:t xml:space="preserve">plofskqrmr (Illustrative: 2.5 kWh/unit)</w:t>
      </w:r>
    </w:p>
    <w:p>
      <w:pPr>
        <w:numPr>
          <w:ilvl w:val="0"/>
          <w:numId w:val="1002"/>
        </w:numPr>
        <w:pStyle w:val="Compact"/>
      </w:pPr>
      <w:r>
        <w:rPr>
          <w:bCs/>
          <w:b/>
        </w:rPr>
        <w:t xml:space="preserve">Final Production Country Grid Mix Emission Factor (China):</w:t>
      </w:r>
      <w:r>
        <w:t xml:space="preserve"> </w:t>
      </w:r>
      <w:r>
        <w:t xml:space="preserve">An illustrative factor of 0.57 kg CO2e/kWh has been used for the electricity grid mix in China. (Note: The national average for 2023 was 0.6205 kg CO2e kWh-1)</w:t>
      </w:r>
    </w:p>
    <w:bookmarkEnd w:id="31"/>
    <w:bookmarkStart w:id="32" w:name="logistics-data"/>
    <w:p>
      <w:pPr>
        <w:pStyle w:val="Heading3"/>
      </w:pPr>
      <w:r>
        <w:t xml:space="preserve">Logistics Data</w:t>
      </w:r>
    </w:p>
    <w:p>
      <w:pPr>
        <w:numPr>
          <w:ilvl w:val="0"/>
          <w:numId w:val="1003"/>
        </w:numPr>
        <w:pStyle w:val="Compact"/>
      </w:pPr>
      <w:r>
        <w:rPr>
          <w:bCs/>
          <w:b/>
        </w:rPr>
        <w:t xml:space="preserve">Transport Mode (Primary):</w:t>
      </w:r>
      <w:r>
        <w:t xml:space="preserve"> </w:t>
      </w:r>
      <w:r>
        <w:t xml:space="preserve">Select Mode (Illustrative: Road Freight)</w:t>
      </w:r>
    </w:p>
    <w:p>
      <w:pPr>
        <w:numPr>
          <w:ilvl w:val="0"/>
          <w:numId w:val="1003"/>
        </w:numPr>
        <w:pStyle w:val="Compact"/>
      </w:pPr>
      <w:r>
        <w:rPr>
          <w:bCs/>
          <w:b/>
        </w:rPr>
        <w:t xml:space="preserve">Transport Distance:</w:t>
      </w:r>
      <w:r>
        <w:t xml:space="preserve"> </w:t>
      </w:r>
      <w:r>
        <w:t xml:space="preserve">xohsnjyjxj (Illustrative: 500 km, representing primary supply chain in Europe)</w:t>
      </w:r>
    </w:p>
    <w:p>
      <w:pPr>
        <w:numPr>
          <w:ilvl w:val="0"/>
          <w:numId w:val="1003"/>
        </w:numPr>
        <w:pStyle w:val="Compact"/>
      </w:pPr>
      <w:r>
        <w:rPr>
          <w:bCs/>
          <w:b/>
        </w:rPr>
        <w:t xml:space="preserve">Last-Mile Delivery Channel:</w:t>
      </w:r>
      <w:r>
        <w:t xml:space="preserve"> </w:t>
      </w:r>
      <w:r>
        <w:t xml:space="preserve">Delivery Type (Illustrative: Parcel Delivery Van for an additional 50 km)</w:t>
      </w:r>
    </w:p>
    <w:p>
      <w:pPr>
        <w:numPr>
          <w:ilvl w:val="0"/>
          <w:numId w:val="1003"/>
        </w:numPr>
        <w:pStyle w:val="Compact"/>
      </w:pPr>
      <w:r>
        <w:rPr>
          <w:bCs/>
          <w:b/>
        </w:rPr>
        <w:t xml:space="preserve">Road Freight Emission Factor:</w:t>
      </w:r>
      <w:r>
        <w:t xml:space="preserve"> </w:t>
      </w:r>
      <w:r>
        <w:t xml:space="preserve">An illustrative factor of 0.135 kg CO2e/tonne-km has been used for general road freight.</w:t>
      </w:r>
    </w:p>
    <w:bookmarkEnd w:id="32"/>
    <w:bookmarkStart w:id="33"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fmfhlgoufs (Illustrative: 5 years)</w:t>
      </w:r>
    </w:p>
    <w:p>
      <w:pPr>
        <w:numPr>
          <w:ilvl w:val="0"/>
          <w:numId w:val="1004"/>
        </w:numPr>
        <w:pStyle w:val="Compact"/>
      </w:pPr>
      <w:r>
        <w:rPr>
          <w:bCs/>
          <w:b/>
        </w:rPr>
        <w:t xml:space="preserve">Energy Consumption in Use:</w:t>
      </w:r>
      <w:r>
        <w:t xml:space="preserve"> </w:t>
      </w:r>
      <w:r>
        <w:t xml:space="preserve">ikjthqzfhh (Illustrative: 10 kWh/year)</w:t>
      </w:r>
    </w:p>
    <w:bookmarkEnd w:id="33"/>
    <w:bookmarkStart w:id="34"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gkgqxorwgs (Illustrative: 80%)</w:t>
      </w:r>
    </w:p>
    <w:p>
      <w:pPr>
        <w:numPr>
          <w:ilvl w:val="0"/>
          <w:numId w:val="1005"/>
        </w:numPr>
        <w:pStyle w:val="Compact"/>
      </w:pPr>
      <w:r>
        <w:rPr>
          <w:bCs/>
          <w:b/>
        </w:rPr>
        <w:t xml:space="preserve">Circular/Take-back Programs:</w:t>
      </w:r>
      <w:r>
        <w:t xml:space="preserve"> </w:t>
      </w:r>
      <w:r>
        <w:t xml:space="preserve">kdvifptztx (Illustrative: Product Take-back Program in place)</w:t>
      </w:r>
    </w:p>
    <w:bookmarkEnd w:id="34"/>
    <w:bookmarkEnd w:id="35"/>
    <w:p>
      <w:r>
        <w:pict>
          <v:rect style="width:0;height:1.5pt" o:hralign="center" o:hrstd="t" o:hr="t"/>
        </w:pict>
      </w:r>
    </w:p>
    <w:bookmarkStart w:id="38" w:name="Xb404f6bea4a0013006ec7a9103609d9ea6643c1"/>
    <w:p>
      <w:pPr>
        <w:pStyle w:val="Heading2"/>
      </w:pPr>
      <w:r>
        <w:t xml:space="preserve">4. Calculate Emissions (Activity * Emission Factor = CO2e)</w:t>
      </w:r>
    </w:p>
    <w:p>
      <w:pPr>
        <w:pStyle w:val="FirstParagraph"/>
      </w:pPr>
      <w:r>
        <w:t xml:space="preserve">Emissions are calculated for each stage of the product\'s lifecycle, categorizing them according to the GHG Protocol as Scope 1, Scope 2, and Scope 3 emissions. Industry-standard emission factors, such as those typically found in databases like Ecoinvent or DEFRA, have been referenced and illustrative values are used where specific factors were not provided, as indicated below.</w:t>
      </w:r>
    </w:p>
    <w:bookmarkStart w:id="36" w:name="lifecycle-emission-breakdown"/>
    <w:p>
      <w:pPr>
        <w:pStyle w:val="Heading3"/>
      </w:pPr>
      <w:r>
        <w:t xml:space="preserve">Lifecycle Emission Breakdown</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Activity Data</w:t>
            </w:r>
          </w:p>
        </w:tc>
        <w:tc>
          <w:tcPr/>
          <w:p>
            <w:pPr>
              <w:pStyle w:val="Compact"/>
              <w:jc w:val="left"/>
            </w:pPr>
            <w:r>
              <w:t xml:space="preserve">Emission Factor / Detail</w:t>
            </w:r>
          </w:p>
        </w:tc>
        <w:tc>
          <w:tcPr/>
          <w:p>
            <w:pPr>
              <w:pStyle w:val="Compact"/>
              <w:jc w:val="left"/>
            </w:pPr>
            <w:r>
              <w:t xml:space="preserve">Calculated Emissions (kg CO2e)</w:t>
            </w:r>
          </w:p>
        </w:tc>
        <w:tc>
          <w:tcPr/>
          <w:p>
            <w:pPr>
              <w:pStyle w:val="Compact"/>
              <w:jc w:val="left"/>
            </w:pPr>
            <w:r>
              <w:t xml:space="preserve">GHG Scope</w:t>
            </w:r>
          </w:p>
        </w:tc>
      </w:tr>
      <w:tr>
        <w:tc>
          <w:tcPr/>
          <w:p>
            <w:pPr>
              <w:pStyle w:val="Compact"/>
              <w:jc w:val="left"/>
            </w:pPr>
            <w:r>
              <w:rPr>
                <w:bCs/>
                <w:b/>
              </w:rPr>
              <w:t xml:space="preserve">Materials Acquisition &amp; Pre-processing</w:t>
            </w:r>
          </w:p>
        </w:tc>
        <w:tc>
          <w:tcPr/>
          <w:p>
            <w:pPr>
              <w:pStyle w:val="Compact"/>
              <w:jc w:val="left"/>
            </w:pPr>
            <w:r>
              <w:t xml:space="preserve">Raw materials as per BOM (0.93 kg total mass)</w:t>
            </w:r>
          </w:p>
        </w:tc>
        <w:tc>
          <w:tcPr/>
          <w:p>
            <w:pPr>
              <w:pStyle w:val="Compact"/>
              <w:jc w:val="left"/>
            </w:pPr>
            <w:r>
              <w:t xml:space="preserve">Directly from BOM \'Total Carbon\' column</w:t>
            </w:r>
          </w:p>
        </w:tc>
        <w:tc>
          <w:tcPr/>
          <w:p>
            <w:pPr>
              <w:pStyle w:val="Compact"/>
              <w:jc w:val="left"/>
            </w:pPr>
            <w:r>
              <w:t xml:space="preserve">6.446</w:t>
            </w:r>
          </w:p>
        </w:tc>
        <w:tc>
          <w:tcPr/>
          <w:p>
            <w:pPr>
              <w:pStyle w:val="Compact"/>
              <w:jc w:val="left"/>
            </w:pPr>
            <w:r>
              <w:t xml:space="preserve">Scope 3 (Upstream)</w:t>
            </w:r>
          </w:p>
        </w:tc>
      </w:tr>
      <w:tr>
        <w:tc>
          <w:tcPr/>
          <w:p>
            <w:pPr>
              <w:pStyle w:val="Compact"/>
              <w:jc w:val="left"/>
            </w:pPr>
            <w:r>
              <w:rPr>
                <w:bCs/>
                <w:b/>
              </w:rPr>
              <w:t xml:space="preserve">Production (Manufacturing)</w:t>
            </w:r>
          </w:p>
        </w:tc>
        <w:tc>
          <w:tcPr/>
          <w:p>
            <w:pPr>
              <w:pStyle w:val="Compact"/>
              <w:jc w:val="left"/>
            </w:pPr>
            <w:r>
              <w:t xml:space="preserve">Energy Intensity: 2.5 kWh/unit, Renewable Usage: 70%</w:t>
            </w:r>
          </w:p>
        </w:tc>
        <w:tc>
          <w:tcPr/>
          <w:p>
            <w:pPr>
              <w:pStyle w:val="Compact"/>
              <w:jc w:val="left"/>
            </w:pPr>
            <w:r>
              <w:t xml:space="preserve">Non-renewable electricity: (2.5 kWh * (1 - 0.70)) * 0.57 kg CO2e/kWh (China grid)</w:t>
            </w:r>
          </w:p>
        </w:tc>
        <w:tc>
          <w:tcPr/>
          <w:p>
            <w:pPr>
              <w:pStyle w:val="Compact"/>
              <w:jc w:val="left"/>
            </w:pPr>
            <w:r>
              <w:t xml:space="preserve">0.428</w:t>
            </w:r>
          </w:p>
        </w:tc>
        <w:tc>
          <w:tcPr/>
          <w:p>
            <w:pPr>
              <w:pStyle w:val="Compact"/>
              <w:jc w:val="left"/>
            </w:pPr>
            <w:r>
              <w:t xml:space="preserve">Scope 2</w:t>
            </w:r>
          </w:p>
        </w:tc>
      </w:tr>
      <w:tr>
        <w:tc>
          <w:tcPr/>
          <w:p>
            <w:pPr>
              <w:pStyle w:val="Compact"/>
              <w:jc w:val="left"/>
            </w:pPr>
            <w:r>
              <w:rPr>
                <w:bCs/>
                <w:b/>
              </w:rPr>
              <w:t xml:space="preserve">Transport (Primary Inbound/Outbound)</w:t>
            </w:r>
          </w:p>
        </w:tc>
        <w:tc>
          <w:tcPr/>
          <w:p>
            <w:pPr>
              <w:pStyle w:val="Compact"/>
              <w:jc w:val="left"/>
            </w:pPr>
            <w:r>
              <w:t xml:space="preserve">Product mass: 0.00093 tonnes, Distance: 500 km, Mode: Road Freight</w:t>
            </w:r>
          </w:p>
        </w:tc>
        <w:tc>
          <w:tcPr/>
          <w:p>
            <w:pPr>
              <w:pStyle w:val="Compact"/>
              <w:jc w:val="left"/>
            </w:pPr>
            <w:r>
              <w:t xml:space="preserve">0.135 kg CO2e/tkm (Road Freight)</w:t>
            </w:r>
          </w:p>
        </w:tc>
        <w:tc>
          <w:tcPr/>
          <w:p>
            <w:pPr>
              <w:pStyle w:val="Compact"/>
              <w:jc w:val="left"/>
            </w:pPr>
            <w:r>
              <w:t xml:space="preserve">0.063</w:t>
            </w:r>
          </w:p>
        </w:tc>
        <w:tc>
          <w:tcPr/>
          <w:p>
            <w:pPr>
              <w:pStyle w:val="Compact"/>
              <w:jc w:val="left"/>
            </w:pPr>
            <w:r>
              <w:t xml:space="preserve">Scope 3 (Upstream &amp; Downstream)</w:t>
            </w:r>
          </w:p>
        </w:tc>
      </w:tr>
      <w:tr>
        <w:tc>
          <w:tcPr/>
          <w:p>
            <w:pPr>
              <w:pStyle w:val="Compact"/>
              <w:jc w:val="left"/>
            </w:pPr>
            <w:r>
              <w:rPr>
                <w:bCs/>
                <w:b/>
              </w:rPr>
              <w:t xml:space="preserve">Transport (Last-Mile Delivery)</w:t>
            </w:r>
          </w:p>
        </w:tc>
        <w:tc>
          <w:tcPr/>
          <w:p>
            <w:pPr>
              <w:pStyle w:val="Compact"/>
              <w:jc w:val="left"/>
            </w:pPr>
            <w:r>
              <w:t xml:space="preserve">Product mass: 0.00093 tonnes, Distance: 50 km, Channel: Parcel Delivery Van</w:t>
            </w:r>
          </w:p>
        </w:tc>
        <w:tc>
          <w:tcPr/>
          <w:p>
            <w:pPr>
              <w:pStyle w:val="Compact"/>
              <w:jc w:val="left"/>
            </w:pPr>
            <w:r>
              <w:t xml:space="preserve">0.135 kg CO2e/tkm (Illustrative Road Freight)</w:t>
            </w:r>
          </w:p>
        </w:tc>
        <w:tc>
          <w:tcPr/>
          <w:p>
            <w:pPr>
              <w:pStyle w:val="Compact"/>
              <w:jc w:val="left"/>
            </w:pPr>
            <w:r>
              <w:t xml:space="preserve">0.007</w:t>
            </w:r>
          </w:p>
        </w:tc>
        <w:tc>
          <w:tcPr/>
          <w:p>
            <w:pPr>
              <w:pStyle w:val="Compact"/>
              <w:jc w:val="left"/>
            </w:pPr>
            <w:r>
              <w:t xml:space="preserve">Scope 3 (Downstream)</w:t>
            </w:r>
          </w:p>
        </w:tc>
      </w:tr>
      <w:tr>
        <w:tc>
          <w:tcPr/>
          <w:p>
            <w:pPr>
              <w:pStyle w:val="Compact"/>
              <w:jc w:val="left"/>
            </w:pPr>
            <w:r>
              <w:rPr>
                <w:bCs/>
                <w:b/>
              </w:rPr>
              <w:t xml:space="preserve">Use Phase</w:t>
            </w:r>
          </w:p>
        </w:tc>
        <w:tc>
          <w:tcPr/>
          <w:p>
            <w:pPr>
              <w:pStyle w:val="Compact"/>
              <w:jc w:val="left"/>
            </w:pPr>
            <w:r>
              <w:t xml:space="preserve">Lifespan: 5 years, Energy Consumption: 10 kWh/year</w:t>
            </w:r>
          </w:p>
        </w:tc>
        <w:tc>
          <w:tcPr/>
          <w:p>
            <w:pPr>
              <w:pStyle w:val="Compact"/>
              <w:jc w:val="left"/>
            </w:pPr>
            <w:r>
              <w:t xml:space="preserve">Total Use Energy: 50 kWh * 0.57 kg CO2e/kWh (China grid)</w:t>
            </w:r>
          </w:p>
        </w:tc>
        <w:tc>
          <w:tcPr/>
          <w:p>
            <w:pPr>
              <w:pStyle w:val="Compact"/>
              <w:jc w:val="left"/>
            </w:pPr>
            <w:r>
              <w:t xml:space="preserve">28.500</w:t>
            </w:r>
          </w:p>
        </w:tc>
        <w:tc>
          <w:tcPr/>
          <w:p>
            <w:pPr>
              <w:pStyle w:val="Compact"/>
              <w:jc w:val="left"/>
            </w:pPr>
            <w:r>
              <w:t xml:space="preserve">Scope 3 (Downstream)</w:t>
            </w:r>
          </w:p>
        </w:tc>
      </w:tr>
      <w:tr>
        <w:tc>
          <w:tcPr/>
          <w:p>
            <w:pPr>
              <w:pStyle w:val="Compact"/>
              <w:jc w:val="left"/>
            </w:pPr>
            <w:r>
              <w:rPr>
                <w:bCs/>
                <w:b/>
              </w:rPr>
              <w:t xml:space="preserve">End-of-Life (EoL)</w:t>
            </w:r>
          </w:p>
        </w:tc>
        <w:tc>
          <w:tcPr/>
          <w:p>
            <w:pPr>
              <w:pStyle w:val="Compact"/>
              <w:jc w:val="left"/>
            </w:pPr>
            <w:r>
              <w:t xml:space="preserve">Product mass: 0.93 kg, Recyclability: 80%, Circular Programs in place</w:t>
            </w:r>
          </w:p>
        </w:tc>
        <w:tc>
          <w:tcPr/>
          <w:p>
            <w:pPr>
              <w:pStyle w:val="Compact"/>
              <w:jc w:val="left"/>
            </w:pPr>
            <w:r>
              <w:t xml:space="preserve">Net impact from 80% recycling credit (-1.0 kg CO2e/kg illustrative avoided) and 20% disposal (1.0 kg CO2e/kg illustrative disposal)</w:t>
            </w:r>
          </w:p>
        </w:tc>
        <w:tc>
          <w:tcPr/>
          <w:p>
            <w:pPr>
              <w:pStyle w:val="Compact"/>
              <w:jc w:val="left"/>
            </w:pPr>
            <w:r>
              <w:t xml:space="preserve">-0.558</w:t>
            </w:r>
          </w:p>
        </w:tc>
        <w:tc>
          <w:tcPr/>
          <w:p>
            <w:pPr>
              <w:pStyle w:val="Compact"/>
              <w:jc w:val="left"/>
            </w:pPr>
            <w:r>
              <w:t xml:space="preserve">Scope 3 (Downstream)</w:t>
            </w:r>
          </w:p>
        </w:tc>
      </w:tr>
    </w:tbl>
    <w:bookmarkEnd w:id="36"/>
    <w:bookmarkStart w:id="37" w:name="summary-of-emissions-by-ghg-scope"/>
    <w:p>
      <w:pPr>
        <w:pStyle w:val="Heading3"/>
      </w:pPr>
      <w:r>
        <w:t xml:space="preserve">Summary of Emissions by GHG Scope</w:t>
      </w:r>
    </w:p>
    <w:p>
      <w:pPr>
        <w:numPr>
          <w:ilvl w:val="0"/>
          <w:numId w:val="1006"/>
        </w:numPr>
        <w:pStyle w:val="Compact"/>
      </w:pPr>
      <w:r>
        <w:rPr>
          <w:bCs/>
          <w:b/>
        </w:rPr>
        <w:t xml:space="preserve">Scope 1 (Direct Emissions):</w:t>
      </w:r>
      <w:r>
        <w:t xml:space="preserve"> </w:t>
      </w:r>
      <w:r>
        <w:t xml:space="preserve">Assumed negligible or not separately calculated based on provided parameters. If direct fuel combustion occurred on-site at \'efyuudslnu\' for processes not covered by purchased electricity, these would be included here. 0.000 kg CO2e.</w:t>
      </w:r>
    </w:p>
    <w:p>
      <w:pPr>
        <w:numPr>
          <w:ilvl w:val="0"/>
          <w:numId w:val="1006"/>
        </w:numPr>
        <w:pStyle w:val="Compact"/>
      </w:pPr>
      <w:r>
        <w:rPr>
          <w:bCs/>
          <w:b/>
        </w:rPr>
        <w:t xml:space="preserve">Scope 2 (Purchased Electricity):</w:t>
      </w:r>
      <w:r>
        <w:t xml:space="preserve"> </w:t>
      </w:r>
      <w:r>
        <w:t xml:space="preserve">0.428 kg CO2e (from production phase).</w:t>
      </w:r>
    </w:p>
    <w:p>
      <w:pPr>
        <w:numPr>
          <w:ilvl w:val="0"/>
          <w:numId w:val="1006"/>
        </w:numPr>
        <w:pStyle w:val="Compact"/>
      </w:pPr>
      <w:r>
        <w:rPr>
          <w:bCs/>
          <w:b/>
        </w:rPr>
        <w:t xml:space="preserve">Scope 3 (Value Chain Emissions):</w:t>
      </w:r>
    </w:p>
    <w:p>
      <w:pPr>
        <w:numPr>
          <w:ilvl w:val="1"/>
          <w:numId w:val="1007"/>
        </w:numPr>
        <w:pStyle w:val="Compact"/>
      </w:pPr>
      <w:r>
        <w:t xml:space="preserve">Materials: 6.446 kg CO2e</w:t>
      </w:r>
    </w:p>
    <w:p>
      <w:pPr>
        <w:numPr>
          <w:ilvl w:val="1"/>
          <w:numId w:val="1007"/>
        </w:numPr>
        <w:pStyle w:val="Compact"/>
      </w:pPr>
      <w:r>
        <w:t xml:space="preserve">Transport (Primary &amp; Last-Mile): 0.063 + 0.007 = 0.070 kg CO2e</w:t>
      </w:r>
    </w:p>
    <w:p>
      <w:pPr>
        <w:numPr>
          <w:ilvl w:val="1"/>
          <w:numId w:val="1007"/>
        </w:numPr>
        <w:pStyle w:val="Compact"/>
      </w:pPr>
      <w:r>
        <w:t xml:space="preserve">Use Phase: 28.500 kg CO2e</w:t>
      </w:r>
    </w:p>
    <w:p>
      <w:pPr>
        <w:numPr>
          <w:ilvl w:val="1"/>
          <w:numId w:val="1007"/>
        </w:numPr>
        <w:pStyle w:val="Compact"/>
      </w:pPr>
      <w:r>
        <w:t xml:space="preserve">End-of-Life: -0.558 kg CO2e</w:t>
      </w:r>
    </w:p>
    <w:p>
      <w:pPr>
        <w:numPr>
          <w:ilvl w:val="0"/>
          <w:numId w:val="1000"/>
        </w:numPr>
        <w:pStyle w:val="Compact"/>
      </w:pPr>
      <w:r>
        <w:rPr>
          <w:bCs/>
          <w:b/>
        </w:rPr>
        <w:t xml:space="preserve">Total Scope 3:</w:t>
      </w:r>
      <w:r>
        <w:t xml:space="preserve"> </w:t>
      </w:r>
      <w:r>
        <w:t xml:space="preserve">6.446 + 0.070 + 28.500 - 0.558 = 34.458 kg CO2e.</w:t>
      </w:r>
    </w:p>
    <w:p>
      <w:pPr>
        <w:pStyle w:val="FirstParagraph"/>
      </w:pPr>
      <w:r>
        <w:rPr>
          <w:bCs/>
          <w:b/>
        </w:rPr>
        <w:t xml:space="preserve">Total Product Carbon Footprint:</w:t>
      </w:r>
      <w:r>
        <w:t xml:space="preserve"> </w:t>
      </w:r>
      <w:r>
        <w:t xml:space="preserve">0.000 (Scope 1) + 0.428 (Scope 2) + 34.458 (Scope 3) =</w:t>
      </w:r>
      <w:r>
        <w:t xml:space="preserve"> </w:t>
      </w:r>
      <w:r>
        <w:rPr>
          <w:bCs/>
          <w:b/>
        </w:rPr>
        <w:t xml:space="preserve">34.886 kg CO2e per unit of ryolmgygwu</w:t>
      </w:r>
      <w:r>
        <w:t xml:space="preserve">.</w:t>
      </w:r>
    </w:p>
    <w:bookmarkEnd w:id="37"/>
    <w:bookmarkEnd w:id="38"/>
    <w:p>
      <w:r>
        <w:pict>
          <v:rect style="width:0;height:1.5pt" o:hralign="center" o:hrstd="t" o:hr="t"/>
        </w:pict>
      </w:r>
    </w:p>
    <w:bookmarkStart w:id="42" w:name="review-report"/>
    <w:p>
      <w:pPr>
        <w:pStyle w:val="Heading2"/>
      </w:pPr>
      <w:r>
        <w:t xml:space="preserve">5. Review &amp; Report</w:t>
      </w:r>
    </w:p>
    <w:bookmarkStart w:id="39" w:name="emission-hotspots"/>
    <w:p>
      <w:pPr>
        <w:pStyle w:val="Heading3"/>
      </w:pPr>
      <w:r>
        <w:t xml:space="preserve">Emission Hotspots</w:t>
      </w:r>
    </w:p>
    <w:p>
      <w:pPr>
        <w:pStyle w:val="FirstParagraph"/>
      </w:pPr>
      <w:r>
        <w:t xml:space="preserve">Based on the analysis, the primary emission hotspots for \'ryolmgygwu\' are:</w:t>
      </w:r>
    </w:p>
    <w:p>
      <w:pPr>
        <w:numPr>
          <w:ilvl w:val="0"/>
          <w:numId w:val="1008"/>
        </w:numPr>
        <w:pStyle w:val="Compact"/>
      </w:pPr>
      <w:r>
        <w:rPr>
          <w:bCs/>
          <w:b/>
        </w:rPr>
        <w:t xml:space="preserve">Use Phase (28.500 kg CO2e):</w:t>
      </w:r>
      <w:r>
        <w:t xml:space="preserve"> </w:t>
      </w:r>
      <w:r>
        <w:t xml:space="preserve">The most significant contributor to the PCF, primarily due to the electricity consumed over the product\'s illustrative 5-year lifespan. This highlights the importance of energy efficiency during product operation and the impact of the grid mix where the product is used.</w:t>
      </w:r>
    </w:p>
    <w:p>
      <w:pPr>
        <w:numPr>
          <w:ilvl w:val="0"/>
          <w:numId w:val="1008"/>
        </w:numPr>
        <w:pStyle w:val="Compact"/>
      </w:pPr>
      <w:r>
        <w:rPr>
          <w:bCs/>
          <w:b/>
        </w:rPr>
        <w:t xml:space="preserve">Materials Acquisition &amp; Pre-processing (6.446 kg CO2e):</w:t>
      </w:r>
      <w:r>
        <w:t xml:space="preserve"> </w:t>
      </w:r>
      <w:r>
        <w:t xml:space="preserve">The choice of raw materials, particularly those with high embodied carbon (e.g., Aluminum and Lithium-ion Battery), contributes substantially to the upstream footprint.</w:t>
      </w:r>
    </w:p>
    <w:bookmarkEnd w:id="39"/>
    <w:bookmarkStart w:id="40" w:name="reliability-statement"/>
    <w:p>
      <w:pPr>
        <w:pStyle w:val="Heading3"/>
      </w:pPr>
      <w:r>
        <w:t xml:space="preserve">Reliability Statement</w:t>
      </w:r>
    </w:p>
    <w:p>
      <w:pPr>
        <w:pStyle w:val="FirstParagraph"/>
      </w:pPr>
      <w:r>
        <w:t xml:space="preserve">The reliability of this PCF analysis is good, given the use of a detailed Bill of Materials for material impacts and adherence to the GHG Protocol. However, it is important to note that certain parameters were provided as placeholder strings (e.g., \'xohsnjyjxj\' for distance, \'nuivtethno\' for renewable energy usage), for which illustrative numerical values and generalized emission factors (e.g., for transport and grid electricity) were applied. Future analyses would benefit from more specific primary data for these inputs, as well as specific emission factors for each material process and End-of-Life scenario derived from dedicated lifecycle inventory databases (e.g., Ecoinvent, GaBi).</w:t>
      </w:r>
    </w:p>
    <w:bookmarkEnd w:id="40"/>
    <w:bookmarkStart w:id="41" w:name="recommendations-for-impact-reduction"/>
    <w:p>
      <w:pPr>
        <w:pStyle w:val="Heading3"/>
      </w:pPr>
      <w:r>
        <w:t xml:space="preserve">Recommendations for Impact Reduction</w:t>
      </w:r>
    </w:p>
    <w:p>
      <w:pPr>
        <w:numPr>
          <w:ilvl w:val="0"/>
          <w:numId w:val="1009"/>
        </w:numPr>
        <w:pStyle w:val="Compact"/>
      </w:pPr>
      <w:r>
        <w:rPr>
          <w:bCs/>
          <w:b/>
        </w:rPr>
        <w:t xml:space="preserve">Optimize Use Phase Efficiency:</w:t>
      </w:r>
      <w:r>
        <w:t xml:space="preserve"> </w:t>
      </w:r>
      <w:r>
        <w:t xml:space="preserve">Focus on designing for ultra-low energy consumption during the \'ryolmgygwu\' operational lifespan. This includes optimizing power modes, component selection, and potential integration with smart energy management systems.</w:t>
      </w:r>
    </w:p>
    <w:p>
      <w:pPr>
        <w:numPr>
          <w:ilvl w:val="0"/>
          <w:numId w:val="1009"/>
        </w:numPr>
        <w:pStyle w:val="Compact"/>
      </w:pPr>
      <w:r>
        <w:rPr>
          <w:bCs/>
          <w:b/>
        </w:rPr>
        <w:t xml:space="preserve">Decarbonize Supply Chain:</w:t>
      </w:r>
      <w:r>
        <w:t xml:space="preserve"> </w:t>
      </w:r>
      <w:r>
        <w:t xml:space="preserve">Collaborate with material suppliers to source lower-carbon alternatives or materials produced with renewable energy. Explore options for lighter-weight components and packaging to reduce transport emissions.</w:t>
      </w:r>
    </w:p>
    <w:p>
      <w:pPr>
        <w:numPr>
          <w:ilvl w:val="0"/>
          <w:numId w:val="1009"/>
        </w:numPr>
        <w:pStyle w:val="Compact"/>
      </w:pPr>
      <w:r>
        <w:rPr>
          <w:bCs/>
          <w:b/>
        </w:rPr>
        <w:t xml:space="preserve">Enhance Circularity:</w:t>
      </w:r>
      <w:r>
        <w:t xml:space="preserve"> </w:t>
      </w:r>
      <w:r>
        <w:t xml:space="preserve">Continue to leverage the identified high recyclability (illustrative 80%) and strengthen \'kdvifptztx\' (Product Take-back Program in place) to maximize material recovery and re-use, further reducing End-of-Life impacts and potentially displacing virgin material production.</w:t>
      </w:r>
    </w:p>
    <w:p>
      <w:pPr>
        <w:numPr>
          <w:ilvl w:val="0"/>
          <w:numId w:val="1009"/>
        </w:numPr>
        <w:pStyle w:val="Compact"/>
      </w:pPr>
      <w:r>
        <w:rPr>
          <w:bCs/>
          <w:b/>
        </w:rPr>
        <w:t xml:space="preserve">Monitor Production Energy:</w:t>
      </w:r>
      <w:r>
        <w:t xml:space="preserve"> </w:t>
      </w:r>
      <w:r>
        <w:t xml:space="preserve">Continuously monitor and increase the actual share of renewable energy \'nuivtethno\' in production facilities in China to reduce Scope 2 emissions.</w:t>
      </w:r>
    </w:p>
    <w:bookmarkEnd w:id="41"/>
    <w:bookmarkEnd w:id="42"/>
    <w:p>
      <w:r>
        <w:pict>
          <v:rect style="width:0;height:1.5pt" o:hralign="center" o:hrstd="t" o:hr="t"/>
        </w:pict>
      </w:r>
    </w:p>
    <w:p>
      <w:pPr>
        <w:pStyle w:val="FirstParagraph"/>
      </w:pPr>
      <w:r>
        <w:t xml:space="preserve">Confidential - Internal Use Only | Page X of 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ryolmgygwu</dc:title>
  <dc:creator/>
  <dc:description>Detailed Product Carbon Footprint (PCF) analysis report for ryolmgygwu, adhering to GHG Protocol standards and 2026 LSR updates, prepared by lwjuqjhqvh, Senior Sustainability Consultant for efyuudslnu.</dc:description>
  <dc:language>en</dc:language>
  <cp:keywords/>
  <dcterms:created xsi:type="dcterms:W3CDTF">2026-07-16T02:18:35Z</dcterms:created>
  <dcterms:modified xsi:type="dcterms:W3CDTF">2026-07-16T02:18:35Z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