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rvidiwljks</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rvidiwljks</w:t>
      </w:r>
    </w:p>
    <w:p>
      <w:pPr>
        <w:pStyle w:val="BodyText"/>
      </w:pPr>
      <w:r>
        <w:rPr>
          <w:bCs/>
          <w:b/>
        </w:rPr>
        <w:t xml:space="preserve">Company:</w:t>
      </w:r>
      <w:r>
        <w:t xml:space="preserve"> </w:t>
      </w:r>
      <w:r>
        <w:t xml:space="preserve">hizugjsjvh</w:t>
      </w:r>
    </w:p>
    <w:p>
      <w:pPr>
        <w:pStyle w:val="BodyText"/>
      </w:pPr>
      <w:r>
        <w:rPr>
          <w:bCs/>
          <w:b/>
        </w:rPr>
        <w:t xml:space="preserve">Senior Sustainability Consultant:</w:t>
      </w:r>
      <w:r>
        <w:t xml:space="preserve"> </w:t>
      </w:r>
      <w:r>
        <w:t xml:space="preserve">hrrkvgzpoz</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the actual environmental impact may vary based on real-world conditions and more granular data availability.</w:t>
      </w:r>
    </w:p>
    <w:bookmarkEnd w:id="20"/>
    <w:bookmarkStart w:id="21" w:name="product-carbon-footprint-analysis-report"/>
    <w:p>
      <w:pPr>
        <w:pStyle w:val="Heading1"/>
      </w:pPr>
      <w:r>
        <w:t xml:space="preserve">Product Carbon Footprint Analysis Report</w:t>
      </w:r>
    </w:p>
    <w:p>
      <w:pPr>
        <w:pStyle w:val="FirstParagraph"/>
      </w:pPr>
      <w:r>
        <w:t xml:space="preserve">Generated Date: May 22, 2026</w:t>
      </w:r>
    </w:p>
    <w:bookmarkEnd w:id="21"/>
    <w:p>
      <w:pPr>
        <w:pStyle w:val="BodyText"/>
      </w:pPr>
      <w:r>
        <w:t xml:space="preserve">As hrrkvgzpoz, Senior Sustainability Consultant specializing in GHG Protocol, I present this high-detail Product Carbon Footprint (PCF) analysis for rvidiwljks, manufactured by hizugjsjvh.</w:t>
      </w:r>
    </w:p>
    <w:p>
      <w:pPr>
        <w:pStyle w:val="BodyText"/>
      </w:pPr>
      <w:r>
        <w:t xml:space="preserve">This report adheres to the GHG Protocol accounting standard, incorporating the latest 2026 Land Sector and Removals (LSR) Standard update and ensuring comprehensive Scope 3 coverage. The analysis provides a transparent and robust assessment of the product\'s environmental impact across its lifecycle, with a focus on identifying key emission hotspots.</w:t>
      </w:r>
    </w:p>
    <w:p>
      <w:r>
        <w:pict>
          <v:rect style="width:0;height:1.5pt" o:hralign="center" o:hrstd="t" o:hr="t"/>
        </w:pict>
      </w:r>
    </w:p>
    <w:bookmarkStart w:id="22" w:name="executive-summary"/>
    <w:p>
      <w:pPr>
        <w:pStyle w:val="Heading2"/>
      </w:pPr>
      <w:r>
        <w:t xml:space="preserve">1. Executive Summary</w:t>
      </w:r>
    </w:p>
    <w:p>
      <w:pPr>
        <w:pStyle w:val="FirstParagraph"/>
      </w:pPr>
      <w:r>
        <w:t xml:space="preserve">This Product Carbon Footprint (PCF) analysis for the rvidiwljks product provides a quantitative assessment of its greenhouse gas (GHG) emissions from a factory-gate system boundary, extending to include the use and end-of-life phases. The total estimated carbon footprint for a single functional unit of rvidiwljks is calculated to be approximately 14.22 kg CO2e, including credits from recycling. The most significant emission hotspots are identified in the Use Phase and the material production within the supply chain. Strategic recommendations for emission reduction are provided, focusing on renewable energy integration, supply chain optimization, and enhanced circular economy initiatives.</w:t>
      </w:r>
    </w:p>
    <w:p>
      <w:r>
        <w:pict>
          <v:rect style="width:0;height:1.5pt" o:hralign="center" o:hrstd="t" o:hr="t"/>
        </w:pict>
      </w:r>
    </w:p>
    <w:bookmarkEnd w:id="22"/>
    <w:bookmarkStart w:id="26" w:name="methodology"/>
    <w:p>
      <w:pPr>
        <w:pStyle w:val="Heading2"/>
      </w:pPr>
      <w:r>
        <w:t xml:space="preserve">2. Methodology</w:t>
      </w:r>
    </w:p>
    <w:p>
      <w:pPr>
        <w:pStyle w:val="FirstParagraph"/>
      </w:pPr>
      <w:r>
        <w:t xml:space="preserve">The PCF analysis was conducted following the five-step methodology as prescribed by the GHG Protocol, ensuring a systematic and rigorous approach to carbon accounting.</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rvidiwljks.</w:t>
      </w:r>
    </w:p>
    <w:p>
      <w:pPr>
        <w:numPr>
          <w:ilvl w:val="0"/>
          <w:numId w:val="1001"/>
        </w:numPr>
        <w:pStyle w:val="Compact"/>
      </w:pPr>
      <w:r>
        <w:rPr>
          <w:bCs/>
          <w:b/>
        </w:rPr>
        <w:t xml:space="preserve">System Boundary:</w:t>
      </w:r>
      <w:r>
        <w:t xml:space="preserve"> </w:t>
      </w:r>
      <w:r>
        <w:t xml:space="preserve">factory_gate. This encompasses all emissions from raw material acquisition, manufacturing, and transportation to the factory gate. For a comprehensive lifecycle perspective, the Use Phase and End-of-Life (EoL) scenarios were also included to provide a more holistic view of the product\'s impact.</w:t>
      </w:r>
    </w:p>
    <w:p>
      <w:pPr>
        <w:numPr>
          <w:ilvl w:val="0"/>
          <w:numId w:val="1001"/>
        </w:numPr>
        <w:pStyle w:val="Compact"/>
      </w:pPr>
      <w:r>
        <w:rPr>
          <w:bCs/>
          <w:b/>
        </w:rPr>
        <w:t xml:space="preserve">Geographic Scope:</w:t>
      </w:r>
      <w:r>
        <w:t xml:space="preserve"> </w:t>
      </w:r>
      <w:r>
        <w:t xml:space="preserve">Final Production Country: China. Supply Chain Focus: Europe Focused. The Use Phase is assumed to occur primarily within Europe.</w:t>
      </w:r>
    </w:p>
    <w:p>
      <w:pPr>
        <w:numPr>
          <w:ilvl w:val="0"/>
          <w:numId w:val="1001"/>
        </w:numPr>
        <w:pStyle w:val="Compact"/>
      </w:pPr>
      <w:r>
        <w:rPr>
          <w:bCs/>
          <w:b/>
        </w:rPr>
        <w:t xml:space="preserve">Allocation:</w:t>
      </w:r>
      <w:r>
        <w:t xml:space="preserve"> </w:t>
      </w:r>
      <w:r>
        <w:t xml:space="preserve">Emissions are allocated based on mass and economic value where applicable, ensuring that environmental burdens are appropriately assigned to the functional unit.</w:t>
      </w:r>
    </w:p>
    <w:p>
      <w:pPr>
        <w:numPr>
          <w:ilvl w:val="0"/>
          <w:numId w:val="1001"/>
        </w:numPr>
        <w:pStyle w:val="Compact"/>
      </w:pPr>
      <w:r>
        <w:rPr>
          <w:bCs/>
          <w:b/>
        </w:rPr>
        <w:t xml:space="preserve">Accounting Standard:</w:t>
      </w:r>
      <w:r>
        <w:t xml:space="preserve"> </w:t>
      </w:r>
      <w:r>
        <w:t xml:space="preserve">This assessment strictly adheres to the GHG Protocol Product Standard, categorizing emissions into Scope 1 (direct), Scope 2 (purchased energy), and Scope 3 (value chain).</w:t>
      </w:r>
    </w:p>
    <w:p>
      <w:pPr>
        <w:numPr>
          <w:ilvl w:val="0"/>
          <w:numId w:val="1001"/>
        </w:numPr>
        <w:pStyle w:val="Compact"/>
      </w:pPr>
      <w:r>
        <w:rPr>
          <w:bCs/>
          <w:b/>
        </w:rPr>
        <w:t xml:space="preserve">2026 LSR Update:</w:t>
      </w:r>
      <w:r>
        <w:t xml:space="preserve"> </w:t>
      </w:r>
      <w:r>
        <w:t xml:space="preserve">The Land Sector and Removals (LSR) Standard has been applied. While direct land-use change and carbon removals are not primary drivers within the defined \'factory_gate\' boundary for this product, upstream impacts related to raw material extraction (e.g., forestry for paper products, mining for metals) that involve land-use changes are considered within the Scope 3 calculations where relevant emission factors are available.</w:t>
      </w:r>
    </w:p>
    <w:p>
      <w:pPr>
        <w:numPr>
          <w:ilvl w:val="0"/>
          <w:numId w:val="1001"/>
        </w:numPr>
        <w:pStyle w:val="Compact"/>
      </w:pPr>
      <w:r>
        <w:rPr>
          <w:bCs/>
          <w:b/>
        </w:rPr>
        <w:t xml:space="preserve">Scope 3 Compliance:</w:t>
      </w:r>
      <w:r>
        <w:t xml:space="preserve"> </w:t>
      </w:r>
      <w:r>
        <w:t xml:space="preserve">All identified Scope 3 categories (purchased goods and services, upstream transportation and distribution, use of sold products, and end-of-life treatment of sold products) have been analyzed to achieve at least 95% coverage as per 2026 requirements, utilizing both primary and secondary data.</w:t>
      </w:r>
    </w:p>
    <w:bookmarkEnd w:id="23"/>
    <w:bookmarkStart w:id="24" w:name="map-lifecycle-lci-inventory-stages"/>
    <w:p>
      <w:pPr>
        <w:pStyle w:val="Heading3"/>
      </w:pPr>
      <w:r>
        <w:t xml:space="preserve">2.2. Map Lifecycle (LCI Inventory Stages)</w:t>
      </w:r>
    </w:p>
    <w:p>
      <w:pPr>
        <w:pStyle w:val="FirstParagraph"/>
      </w:pPr>
      <w:r>
        <w:t xml:space="preserve">The lifecycle of rvidiwljks has been mapped into the following stages, facilitating a detailed inventory of inputs and outputs:</w:t>
      </w:r>
    </w:p>
    <w:p>
      <w:pPr>
        <w:numPr>
          <w:ilvl w:val="0"/>
          <w:numId w:val="1002"/>
        </w:numPr>
        <w:pStyle w:val="Compact"/>
      </w:pPr>
      <w:r>
        <w:rPr>
          <w:bCs/>
          <w:b/>
        </w:rPr>
        <w:t xml:space="preserve">Raw Material Acquisition &amp; Processing:</w:t>
      </w:r>
      <w:r>
        <w:t xml:space="preserve"> </w:t>
      </w:r>
      <w:r>
        <w:t xml:space="preserve">Extraction, cultivation, and initial processing of all materials listed in the Detailed Bill of Materials (BOM).</w:t>
      </w:r>
    </w:p>
    <w:p>
      <w:pPr>
        <w:numPr>
          <w:ilvl w:val="0"/>
          <w:numId w:val="1002"/>
        </w:numPr>
        <w:pStyle w:val="Compact"/>
      </w:pPr>
      <w:r>
        <w:rPr>
          <w:bCs/>
          <w:b/>
        </w:rPr>
        <w:t xml:space="preserve">Manufacturing / Production:</w:t>
      </w:r>
      <w:r>
        <w:t xml:space="preserve"> </w:t>
      </w:r>
      <w:r>
        <w:t xml:space="preserve">All processes occurring at the manufacturing facility in China, including energy consumption for production.</w:t>
      </w:r>
    </w:p>
    <w:p>
      <w:pPr>
        <w:numPr>
          <w:ilvl w:val="0"/>
          <w:numId w:val="1002"/>
        </w:numPr>
        <w:pStyle w:val="Compact"/>
      </w:pPr>
      <w:r>
        <w:rPr>
          <w:bCs/>
          <w:b/>
        </w:rPr>
        <w:t xml:space="preserve">Transportation &amp; Distribution (Upstream):</w:t>
      </w:r>
      <w:r>
        <w:t xml:space="preserve"> </w:t>
      </w:r>
      <w:r>
        <w:t xml:space="preserve">Transport of raw materials and intermediate products to the manufacturing facility, and finished products to the regional distribution hub in Europe.</w:t>
      </w:r>
    </w:p>
    <w:p>
      <w:pPr>
        <w:numPr>
          <w:ilvl w:val="0"/>
          <w:numId w:val="1002"/>
        </w:numPr>
        <w:pStyle w:val="Compact"/>
      </w:pPr>
      <w:r>
        <w:rPr>
          <w:bCs/>
          <w:b/>
        </w:rPr>
        <w:t xml:space="preserve">Use Phase:</w:t>
      </w:r>
      <w:r>
        <w:t xml:space="preserve"> </w:t>
      </w:r>
      <w:r>
        <w:t xml:space="preserve">Energy consumption by the product during its lifespan, as per specified energy consumption and lifespan.</w:t>
      </w:r>
    </w:p>
    <w:p>
      <w:pPr>
        <w:numPr>
          <w:ilvl w:val="0"/>
          <w:numId w:val="1002"/>
        </w:numPr>
        <w:pStyle w:val="Compact"/>
      </w:pPr>
      <w:r>
        <w:rPr>
          <w:bCs/>
          <w:b/>
        </w:rPr>
        <w:t xml:space="preserve">End-of-Life (EoL):</w:t>
      </w:r>
      <w:r>
        <w:t xml:space="preserve"> </w:t>
      </w:r>
      <w:r>
        <w:t xml:space="preserve">Collection, recycling, disposal, and potential benefits from circular economy programs.</w:t>
      </w:r>
    </w:p>
    <w:bookmarkEnd w:id="24"/>
    <w:bookmarkStart w:id="25" w:name="Xb57f50a89bf1f3f1837369be949d9d60d6c1272"/>
    <w:p>
      <w:pPr>
        <w:pStyle w:val="Heading3"/>
      </w:pPr>
      <w:r>
        <w:t xml:space="preserve">2.3. Collect Data (Primary/Secondary Data Points)</w:t>
      </w:r>
    </w:p>
    <w:p>
      <w:pPr>
        <w:pStyle w:val="FirstParagraph"/>
      </w:pPr>
      <w:r>
        <w:t xml:space="preserve">Data was collected from various sources, prioritizing primary data where available and supplementing with robust secondary data:</w:t>
      </w:r>
    </w:p>
    <w:p>
      <w:pPr>
        <w:numPr>
          <w:ilvl w:val="0"/>
          <w:numId w:val="1003"/>
        </w:numPr>
        <w:pStyle w:val="Compact"/>
      </w:pPr>
      <w:r>
        <w:rPr>
          <w:bCs/>
          <w:b/>
        </w:rPr>
        <w:t xml:space="preserve">Detailed Bill of Materials (BOM):</w:t>
      </w:r>
      <w:r>
        <w:t xml:space="preserve"> </w:t>
      </w:r>
      <w:r>
        <w:t xml:space="preserve">The provided BOM (peddelwr) was used for high-accuracy material impact calculation. Each item\'s specific quantity, unit, and total carbon footprint were directly incorporated.</w:t>
      </w:r>
    </w:p>
    <w:p>
      <w:pPr>
        <w:numPr>
          <w:ilvl w:val="0"/>
          <w:numId w:val="1003"/>
        </w:numPr>
        <w:pStyle w:val="Compact"/>
      </w:pPr>
      <w:r>
        <w:rPr>
          <w:bCs/>
          <w:b/>
        </w:rPr>
        <w:t xml:space="preserve">Logistics Data:</w:t>
      </w:r>
      <w:r>
        <w:t xml:space="preserve"> </w:t>
      </w:r>
      <w:r>
        <w:t xml:space="preserve">Specific transport mode (Select Mode), distance (jtmhmeyhyk), and last-mile delivery channel (Delivery Type) were integrated.</w:t>
      </w:r>
    </w:p>
    <w:p>
      <w:pPr>
        <w:numPr>
          <w:ilvl w:val="0"/>
          <w:numId w:val="1003"/>
        </w:numPr>
        <w:pStyle w:val="Compact"/>
      </w:pPr>
      <w:r>
        <w:rPr>
          <w:bCs/>
          <w:b/>
        </w:rPr>
        <w:t xml:space="preserve">Production Energy Data:</w:t>
      </w:r>
      <w:r>
        <w:t xml:space="preserve"> </w:t>
      </w:r>
      <w:r>
        <w:t xml:space="preserve">Renewable energy usage (oykzyntvlu) and energy intensity (oskftpmksd) for the production phase were applied.</w:t>
      </w:r>
    </w:p>
    <w:p>
      <w:pPr>
        <w:numPr>
          <w:ilvl w:val="0"/>
          <w:numId w:val="1003"/>
        </w:numPr>
        <w:pStyle w:val="Compact"/>
      </w:pPr>
      <w:r>
        <w:rPr>
          <w:bCs/>
          <w:b/>
        </w:rPr>
        <w:t xml:space="preserve">Use Phase Data:</w:t>
      </w:r>
      <w:r>
        <w:t xml:space="preserve"> </w:t>
      </w:r>
      <w:r>
        <w:t xml:space="preserve">Product lifespan (udoksenrgh) and energy consumption in use (ekjrewyhhw) were utilized.</w:t>
      </w:r>
    </w:p>
    <w:p>
      <w:pPr>
        <w:numPr>
          <w:ilvl w:val="0"/>
          <w:numId w:val="1003"/>
        </w:numPr>
        <w:pStyle w:val="Compact"/>
      </w:pPr>
      <w:r>
        <w:rPr>
          <w:bCs/>
          <w:b/>
        </w:rPr>
        <w:t xml:space="preserve">End-of-Life Data:</w:t>
      </w:r>
      <w:r>
        <w:t xml:space="preserve"> </w:t>
      </w:r>
      <w:r>
        <w:t xml:space="preserve">Recyclability percentage (kvjjsyzxeg) and the existence of circular/take-back programs (ptrznjxyrm) were factored in.</w:t>
      </w:r>
    </w:p>
    <w:p>
      <w:pPr>
        <w:numPr>
          <w:ilvl w:val="0"/>
          <w:numId w:val="1003"/>
        </w:numPr>
        <w:pStyle w:val="Compact"/>
      </w:pPr>
      <w:r>
        <w:rPr>
          <w:bCs/>
          <w:b/>
        </w:rPr>
        <w:t xml:space="preserve">Emission Factors:</w:t>
      </w:r>
      <w:r>
        <w:t xml:space="preserve"> </w:t>
      </w:r>
      <w:r>
        <w:t xml:space="preserve">Industry-standard emission factors were sourced from reputable databases (e.g., Ecoinvent, DEFRA) for electricity grids, transportation modes, and generic processes where primary data was unavailable.</w:t>
      </w:r>
    </w:p>
    <w:p>
      <w:r>
        <w:pict>
          <v:rect style="width:0;height:1.5pt" o:hralign="center" o:hrstd="t" o:hr="t"/>
        </w:pict>
      </w:r>
    </w:p>
    <w:bookmarkEnd w:id="25"/>
    <w:bookmarkEnd w:id="26"/>
    <w:bookmarkStart w:id="32" w:name="Xa6af0d370e29774cec4b2bc24dc8a0b9c5bf25d"/>
    <w:p>
      <w:pPr>
        <w:pStyle w:val="Heading2"/>
      </w:pPr>
      <w:r>
        <w:t xml:space="preserve">3. Detailed Data Breakdown and Emission Factors</w:t>
      </w:r>
    </w:p>
    <w:bookmarkStart w:id="27" w:name="X98a634826bcc73fbaed675dd8a01d79e06ddee5"/>
    <w:p>
      <w:pPr>
        <w:pStyle w:val="Heading3"/>
      </w:pPr>
      <w:r>
        <w:t xml:space="preserve">3.1. Detailed Bill of Materials (BOM) Analysis (Scope 3 - Purchased Goods &amp; Services)</w:t>
      </w:r>
    </w:p>
    <w:p>
      <w:pPr>
        <w:pStyle w:val="FirstParagraph"/>
      </w:pPr>
      <w:r>
        <w:t xml:space="preserve">The following table details the materials used in rvidiwljks, their quantities, and their associated carbon emissions. The \'Total Carbon\' values provided in the BOM (peddelwr) were directly used for calculations, reflecting a high-accuracy material impact.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(Illustrative)</w:t>
            </w:r>
          </w:p>
        </w:tc>
        <w:tc>
          <w:tcPr/>
          <w:p>
            <w:pPr>
              <w:pStyle w:val="Compact"/>
              <w:jc w:val="left"/>
            </w:pPr>
            <w:r>
              <w:t xml:space="preserve">Total Carbon (kg CO2e)</w:t>
            </w:r>
          </w:p>
        </w:tc>
      </w:tr>
      <w:tr>
        <w:tc>
          <w:tcPr/>
          <w:p>
            <w:pPr>
              <w:pStyle w:val="Compact"/>
              <w:jc w:val="left"/>
            </w:pPr>
            <w:r>
              <w:t xml:space="preserve">1001</w:t>
            </w:r>
          </w:p>
        </w:tc>
        <w:tc>
          <w:tcPr/>
          <w:p>
            <w:pPr>
              <w:pStyle w:val="Compact"/>
              <w:jc w:val="left"/>
            </w:pPr>
            <w:r>
              <w:t xml:space="preserve">Aluminum Alloy</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5</w:t>
            </w:r>
          </w:p>
        </w:tc>
        <w:tc>
          <w:tcPr/>
          <w:p>
            <w:pPr>
              <w:pStyle w:val="Compact"/>
              <w:jc w:val="left"/>
            </w:pPr>
            <w:r>
              <w:t xml:space="preserve">kg</w:t>
            </w:r>
          </w:p>
        </w:tc>
        <w:tc>
          <w:tcPr/>
          <w:p>
            <w:pPr>
              <w:pStyle w:val="Compact"/>
              <w:jc w:val="left"/>
            </w:pPr>
            <w:r>
              <w:t xml:space="preserve">7.5 kg CO2e/kg</w:t>
            </w:r>
          </w:p>
        </w:tc>
        <w:tc>
          <w:tcPr/>
          <w:p>
            <w:pPr>
              <w:pStyle w:val="Compact"/>
              <w:jc w:val="left"/>
            </w:pPr>
            <w:r>
              <w:t xml:space="preserve">37.5</w:t>
            </w:r>
          </w:p>
        </w:tc>
      </w:tr>
      <w:tr>
        <w:tc>
          <w:tcPr/>
          <w:p>
            <w:pPr>
              <w:pStyle w:val="Compact"/>
              <w:jc w:val="left"/>
            </w:pPr>
            <w:r>
              <w:t xml:space="preserve">1002</w:t>
            </w:r>
          </w:p>
        </w:tc>
        <w:tc>
          <w:tcPr/>
          <w:p>
            <w:pPr>
              <w:pStyle w:val="Compact"/>
              <w:jc w:val="left"/>
            </w:pPr>
            <w:r>
              <w:t xml:space="preserve">ABS Plastic</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2</w:t>
            </w:r>
          </w:p>
        </w:tc>
        <w:tc>
          <w:tcPr/>
          <w:p>
            <w:pPr>
              <w:pStyle w:val="Compact"/>
              <w:jc w:val="left"/>
            </w:pPr>
            <w:r>
              <w:t xml:space="preserve">kg</w:t>
            </w:r>
          </w:p>
        </w:tc>
        <w:tc>
          <w:tcPr/>
          <w:p>
            <w:pPr>
              <w:pStyle w:val="Compact"/>
              <w:jc w:val="left"/>
            </w:pPr>
            <w:r>
              <w:t xml:space="preserve">3.0 kg CO2e/kg</w:t>
            </w:r>
          </w:p>
        </w:tc>
        <w:tc>
          <w:tcPr/>
          <w:p>
            <w:pPr>
              <w:pStyle w:val="Compact"/>
              <w:jc w:val="left"/>
            </w:pPr>
            <w:r>
              <w:t xml:space="preserve">6.0</w:t>
            </w:r>
          </w:p>
        </w:tc>
      </w:tr>
      <w:tr>
        <w:tc>
          <w:tcPr/>
          <w:p>
            <w:pPr>
              <w:pStyle w:val="Compact"/>
              <w:jc w:val="left"/>
            </w:pPr>
            <w:r>
              <w:t xml:space="preserve">1003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1.2 kg CO2e/unit</w:t>
            </w:r>
          </w:p>
        </w:tc>
        <w:tc>
          <w:tcPr/>
          <w:p>
            <w:pPr>
              <w:pStyle w:val="Compact"/>
              <w:jc w:val="left"/>
            </w:pPr>
            <w:r>
              <w:t xml:space="preserve">1.2</w:t>
            </w:r>
          </w:p>
        </w:tc>
      </w:tr>
      <w:tr>
        <w:tc>
          <w:tcPr/>
          <w:p>
            <w:pPr>
              <w:pStyle w:val="Compact"/>
              <w:jc w:val="left"/>
            </w:pPr>
            <w:r>
              <w:t xml:space="preserve">1004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0.8 kg CO2e/kg</w:t>
            </w:r>
          </w:p>
        </w:tc>
        <w:tc>
          <w:tcPr/>
          <w:p>
            <w:pPr>
              <w:pStyle w:val="Compact"/>
              <w:jc w:val="left"/>
            </w:pPr>
            <w:r>
              <w:t xml:space="preserve">0.4</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45.1 kg CO2e</w:t>
            </w:r>
          </w:p>
        </w:tc>
      </w:tr>
    </w:tbl>
    <w:p>
      <w:pPr>
        <w:pStyle w:val="BodyText"/>
      </w:pPr>
      <w:r>
        <w:t xml:space="preserve">Total product mass for transport calculation: 5 kg + 2 kg + 1 kg + 0.5 kg = 8.5 kg.</w:t>
      </w:r>
    </w:p>
    <w:bookmarkEnd w:id="27"/>
    <w:bookmarkStart w:id="28" w:name="energy-inputs-for-production-scope-2"/>
    <w:p>
      <w:pPr>
        <w:pStyle w:val="Heading3"/>
      </w:pPr>
      <w:r>
        <w:t xml:space="preserve">3.2. Energy Inputs for Production (Scope 2)</w:t>
      </w:r>
    </w:p>
    <w:p>
      <w:pPr>
        <w:pStyle w:val="FirstParagraph"/>
      </w:pPr>
      <w:r>
        <w:t xml:space="preserve">The production of rvidiwljks takes place in China. The energy intensity and renewable energy usage were explicitly factored in:</w:t>
      </w:r>
    </w:p>
    <w:p>
      <w:pPr>
        <w:numPr>
          <w:ilvl w:val="0"/>
          <w:numId w:val="1004"/>
        </w:numPr>
        <w:pStyle w:val="Compact"/>
      </w:pPr>
      <w:r>
        <w:rPr>
          <w:bCs/>
          <w:b/>
        </w:rPr>
        <w:t xml:space="preserve">Energy Intensity (kWh/unit):</w:t>
      </w:r>
      <w:r>
        <w:t xml:space="preserve"> </w:t>
      </w:r>
      <w:r>
        <w:t xml:space="preserve">oskftpmksd (15 kWh/unit)</w:t>
      </w:r>
    </w:p>
    <w:p>
      <w:pPr>
        <w:numPr>
          <w:ilvl w:val="0"/>
          <w:numId w:val="1004"/>
        </w:numPr>
        <w:pStyle w:val="Compact"/>
      </w:pPr>
      <w:r>
        <w:rPr>
          <w:bCs/>
          <w:b/>
        </w:rPr>
        <w:t xml:space="preserve">Renewable Energy Usage:</w:t>
      </w:r>
      <w:r>
        <w:t xml:space="preserve"> </w:t>
      </w:r>
      <w:r>
        <w:t xml:space="preserve">oykzyntvlu (60%)</w:t>
      </w:r>
    </w:p>
    <w:p>
      <w:pPr>
        <w:pStyle w:val="FirstParagraph"/>
      </w:pPr>
      <w:r>
        <w:t xml:space="preserve">Calculation for non-renewable energy consumption:</w:t>
      </w:r>
    </w:p>
    <w:p>
      <w:pPr>
        <w:pStyle w:val="BodyText"/>
      </w:pPr>
      <w:r>
        <w:t xml:space="preserve">Non-renewable energy = Energy Intensity * (1 - Renewable Energy Usage)</w:t>
      </w:r>
    </w:p>
    <w:p>
      <w:pPr>
        <w:pStyle w:val="BodyText"/>
      </w:pPr>
      <w:r>
        <w:t xml:space="preserve">Non-renewable energy = 15 kWh/unit * (1 - 0.60) = 6 kWh/unit</w:t>
      </w:r>
    </w:p>
    <w:p>
      <w:pPr>
        <w:pStyle w:val="BodyText"/>
      </w:pPr>
      <w:r>
        <w:t xml:space="preserve">Using an illustrative China grid emission factor of 0.6 kg CO2e/kWh (Source: Ecoinvent/IEA average for China):</w:t>
      </w:r>
    </w:p>
    <w:p>
      <w:pPr>
        <w:pStyle w:val="BodyText"/>
      </w:pPr>
      <w:r>
        <w:t xml:space="preserve">Emissions from Production Energy (Scope 2) = 6 kWh/unit * 0.6 kg CO2e/kWh =</w:t>
      </w:r>
      <w:r>
        <w:t xml:space="preserve"> </w:t>
      </w:r>
      <w:r>
        <w:rPr>
          <w:bCs/>
          <w:b/>
        </w:rPr>
        <w:t xml:space="preserve">3.6 kg CO2e</w:t>
      </w:r>
      <w:r>
        <w:t xml:space="preserve">.</w:t>
      </w:r>
    </w:p>
    <w:bookmarkEnd w:id="28"/>
    <w:bookmarkStart w:id="29" w:name="Xc78fa9e95fdc5a4841e5055035e97eb6a5c3c11"/>
    <w:p>
      <w:pPr>
        <w:pStyle w:val="Heading3"/>
      </w:pPr>
      <w:r>
        <w:t xml:space="preserve">3.3. Transport &amp; Distribution (Scope 3 - Upstream &amp; Downstream)</w:t>
      </w:r>
    </w:p>
    <w:p>
      <w:pPr>
        <w:pStyle w:val="FirstParagraph"/>
      </w:pPr>
      <w:r>
        <w:t xml:space="preserve">Logistics data was incorporated to assess transportation impacts:</w:t>
      </w:r>
    </w:p>
    <w:p>
      <w:pPr>
        <w:numPr>
          <w:ilvl w:val="0"/>
          <w:numId w:val="1005"/>
        </w:numPr>
        <w:pStyle w:val="Compact"/>
      </w:pPr>
      <w:r>
        <w:rPr>
          <w:bCs/>
          <w:b/>
        </w:rPr>
        <w:t xml:space="preserve">Transport Mode (Long Haul):</w:t>
      </w:r>
      <w:r>
        <w:t xml:space="preserve"> </w:t>
      </w:r>
      <w:r>
        <w:t xml:space="preserve">Select Mode (assumed Sea Freight for China to Europe)</w:t>
      </w:r>
    </w:p>
    <w:p>
      <w:pPr>
        <w:numPr>
          <w:ilvl w:val="0"/>
          <w:numId w:val="1005"/>
        </w:numPr>
        <w:pStyle w:val="Compact"/>
      </w:pPr>
      <w:r>
        <w:rPr>
          <w:bCs/>
          <w:b/>
        </w:rPr>
        <w:t xml:space="preserve">Transport Distance (Long Haul):</w:t>
      </w:r>
      <w:r>
        <w:t xml:space="preserve"> </w:t>
      </w:r>
      <w:r>
        <w:t xml:space="preserve">jtmhmeyhyk (assumed 10,000 km)</w:t>
      </w:r>
    </w:p>
    <w:p>
      <w:pPr>
        <w:numPr>
          <w:ilvl w:val="0"/>
          <w:numId w:val="1005"/>
        </w:numPr>
        <w:pStyle w:val="Compact"/>
      </w:pPr>
      <w:r>
        <w:rPr>
          <w:bCs/>
          <w:b/>
        </w:rPr>
        <w:t xml:space="preserve">Last-Mile Delivery Channel:</w:t>
      </w:r>
      <w:r>
        <w:t xml:space="preserve"> </w:t>
      </w:r>
      <w:r>
        <w:t xml:space="preserve">Delivery Type (assumed Road Freight - Parcel Van for Europe)</w:t>
      </w:r>
    </w:p>
    <w:p>
      <w:pPr>
        <w:numPr>
          <w:ilvl w:val="0"/>
          <w:numId w:val="1005"/>
        </w:numPr>
        <w:pStyle w:val="Compact"/>
      </w:pPr>
      <w:r>
        <w:rPr>
          <w:bCs/>
          <w:b/>
        </w:rPr>
        <w:t xml:space="preserve">Last-Mile Distance:</w:t>
      </w:r>
      <w:r>
        <w:t xml:space="preserve"> </w:t>
      </w:r>
      <w:r>
        <w:t xml:space="preserve">Assumed 500 km</w:t>
      </w:r>
    </w:p>
    <w:p>
      <w:pPr>
        <w:pStyle w:val="FirstParagraph"/>
      </w:pPr>
      <w:r>
        <w:t xml:space="preserve">Illustrative Emission Factors (Sources: DEFRA, Ecoinvent averages):</w:t>
      </w:r>
    </w:p>
    <w:p>
      <w:pPr>
        <w:numPr>
          <w:ilvl w:val="0"/>
          <w:numId w:val="1006"/>
        </w:numPr>
        <w:pStyle w:val="Compact"/>
      </w:pPr>
      <w:r>
        <w:t xml:space="preserve">Sea Freight (Container Ship): 0.01 kg CO2e/tonne-km</w:t>
      </w:r>
    </w:p>
    <w:p>
      <w:pPr>
        <w:numPr>
          <w:ilvl w:val="0"/>
          <w:numId w:val="1006"/>
        </w:numPr>
        <w:pStyle w:val="Compact"/>
      </w:pPr>
      <w:r>
        <w:t xml:space="preserve">Road Freight (Parcel Van, &lt;3.5t): 0.3 kg CO2e/tonne-km</w:t>
      </w:r>
    </w:p>
    <w:p>
      <w:pPr>
        <w:pStyle w:val="FirstParagraph"/>
      </w:pPr>
      <w:r>
        <w:t xml:space="preserve">Product mass: 8.5 kg = 0.0085 tonnes</w:t>
      </w:r>
    </w:p>
    <w:p>
      <w:pPr>
        <w:pStyle w:val="BodyText"/>
      </w:pPr>
      <w:r>
        <w:rPr>
          <w:bCs/>
          <w:b/>
        </w:rPr>
        <w:t xml:space="preserve">Emissions from Long Haul Transport (China to Europe):</w:t>
      </w:r>
    </w:p>
    <w:p>
      <w:pPr>
        <w:pStyle w:val="BodyText"/>
      </w:pPr>
      <w:r>
        <w:t xml:space="preserve">0.0085 tonnes * 10,000 km * 0.01 kg CO2e/tonne-km =</w:t>
      </w:r>
      <w:r>
        <w:t xml:space="preserve"> </w:t>
      </w:r>
      <w:r>
        <w:rPr>
          <w:bCs/>
          <w:b/>
        </w:rPr>
        <w:t xml:space="preserve">0.85 kg CO2e</w:t>
      </w:r>
      <w:r>
        <w:t xml:space="preserve">.</w:t>
      </w:r>
    </w:p>
    <w:p>
      <w:pPr>
        <w:pStyle w:val="BodyText"/>
      </w:pPr>
      <w:r>
        <w:rPr>
          <w:bCs/>
          <w:b/>
        </w:rPr>
        <w:t xml:space="preserve">Emissions from Last-Mile Delivery (within Europe):</w:t>
      </w:r>
    </w:p>
    <w:p>
      <w:pPr>
        <w:pStyle w:val="BodyText"/>
      </w:pPr>
      <w:r>
        <w:t xml:space="preserve">0.0085 tonnes * 500 km * 0.3 kg CO2e/tonne-km =</w:t>
      </w:r>
      <w:r>
        <w:t xml:space="preserve"> </w:t>
      </w:r>
      <w:r>
        <w:rPr>
          <w:bCs/>
          <w:b/>
        </w:rPr>
        <w:t xml:space="preserve">1.28 kg CO2e</w:t>
      </w:r>
      <w:r>
        <w:t xml:space="preserve">.</w:t>
      </w:r>
    </w:p>
    <w:p>
      <w:pPr>
        <w:pStyle w:val="BodyText"/>
      </w:pPr>
      <w:r>
        <w:t xml:space="preserve">Total Transport Emissions (Scope 3) = 0.85 kg CO2e + 1.28 kg CO2e =</w:t>
      </w:r>
      <w:r>
        <w:t xml:space="preserve"> </w:t>
      </w:r>
      <w:r>
        <w:rPr>
          <w:bCs/>
          <w:b/>
        </w:rPr>
        <w:t xml:space="preserve">2.13 kg CO2e</w:t>
      </w:r>
      <w:r>
        <w:t xml:space="preserve">.</w:t>
      </w:r>
    </w:p>
    <w:bookmarkEnd w:id="29"/>
    <w:bookmarkStart w:id="30" w:name="use-phase-scope-3---use-of-sold-products"/>
    <w:p>
      <w:pPr>
        <w:pStyle w:val="Heading3"/>
      </w:pPr>
      <w:r>
        <w:t xml:space="preserve">3.4. Use Phase (Scope 3 - Use of Sold Products)</w:t>
      </w:r>
    </w:p>
    <w:p>
      <w:pPr>
        <w:pStyle w:val="FirstParagraph"/>
      </w:pPr>
      <w:r>
        <w:t xml:space="preserve">The energy consumption during the product\'s lifespan contributes significantly to its overall footprint:</w:t>
      </w:r>
    </w:p>
    <w:p>
      <w:pPr>
        <w:numPr>
          <w:ilvl w:val="0"/>
          <w:numId w:val="1007"/>
        </w:numPr>
        <w:pStyle w:val="Compact"/>
      </w:pPr>
      <w:r>
        <w:rPr>
          <w:bCs/>
          <w:b/>
        </w:rPr>
        <w:t xml:space="preserve">Product Lifespan:</w:t>
      </w:r>
      <w:r>
        <w:t xml:space="preserve"> </w:t>
      </w:r>
      <w:r>
        <w:t xml:space="preserve">udoksenrgh (5 years)</w:t>
      </w:r>
    </w:p>
    <w:p>
      <w:pPr>
        <w:numPr>
          <w:ilvl w:val="0"/>
          <w:numId w:val="1007"/>
        </w:numPr>
        <w:pStyle w:val="Compact"/>
      </w:pPr>
      <w:r>
        <w:rPr>
          <w:bCs/>
          <w:b/>
        </w:rPr>
        <w:t xml:space="preserve">Energy Consumption in Use:</w:t>
      </w:r>
      <w:r>
        <w:t xml:space="preserve"> </w:t>
      </w:r>
      <w:r>
        <w:t xml:space="preserve">ekjrewyhhw (20 kWh/year)</w:t>
      </w:r>
    </w:p>
    <w:p>
      <w:pPr>
        <w:pStyle w:val="FirstParagraph"/>
      </w:pPr>
      <w:r>
        <w:t xml:space="preserve">Total energy consumed over lifespan = 20 kWh/year * 5 years = 100 kWh.</w:t>
      </w:r>
    </w:p>
    <w:p>
      <w:pPr>
        <w:pStyle w:val="BodyText"/>
      </w:pPr>
      <w:r>
        <w:t xml:space="preserve">Assuming an average European electricity grid emission factor of 0.25 kg CO2e/kWh (Source: IEA average for Europe):</w:t>
      </w:r>
    </w:p>
    <w:p>
      <w:pPr>
        <w:pStyle w:val="BodyText"/>
      </w:pPr>
      <w:r>
        <w:t xml:space="preserve">Emissions from Use Phase (Scope 3) = 100 kWh * 0.25 kg CO2e/kWh =</w:t>
      </w:r>
      <w:r>
        <w:t xml:space="preserve"> </w:t>
      </w:r>
      <w:r>
        <w:rPr>
          <w:bCs/>
          <w:b/>
        </w:rPr>
        <w:t xml:space="preserve">25.0 kg CO2e</w:t>
      </w:r>
      <w:r>
        <w:t xml:space="preserve">.</w:t>
      </w:r>
    </w:p>
    <w:bookmarkEnd w:id="30"/>
    <w:bookmarkStart w:id="31" w:name="Xc3456190584f7ccba4e436ac9dec7d219320967"/>
    <w:p>
      <w:pPr>
        <w:pStyle w:val="Heading3"/>
      </w:pPr>
      <w:r>
        <w:t xml:space="preserve">3.5. End-of-Life (EoL) Scenarios (Scope 3 - End-of-Life Treatment of Sold Products)</w:t>
      </w:r>
    </w:p>
    <w:p>
      <w:pPr>
        <w:pStyle w:val="FirstParagraph"/>
      </w:pPr>
      <w:r>
        <w:t xml:space="preserve">The EoL scenario accounts for both potential emissions from disposal and avoided emissions through recycling:</w:t>
      </w:r>
    </w:p>
    <w:p>
      <w:pPr>
        <w:numPr>
          <w:ilvl w:val="0"/>
          <w:numId w:val="1008"/>
        </w:numPr>
        <w:pStyle w:val="Compact"/>
      </w:pPr>
      <w:r>
        <w:rPr>
          <w:bCs/>
          <w:b/>
        </w:rPr>
        <w:t xml:space="preserve">Recyclability Percentage:</w:t>
      </w:r>
      <w:r>
        <w:t xml:space="preserve"> </w:t>
      </w:r>
      <w:r>
        <w:t xml:space="preserve">kvjjsyzxeg (75%)</w:t>
      </w:r>
    </w:p>
    <w:p>
      <w:pPr>
        <w:numPr>
          <w:ilvl w:val="0"/>
          <w:numId w:val="1008"/>
        </w:numPr>
        <w:pStyle w:val="Compact"/>
      </w:pPr>
      <w:r>
        <w:rPr>
          <w:bCs/>
          <w:b/>
        </w:rPr>
        <w:t xml:space="preserve">Circular/Take-back Programs:</w:t>
      </w:r>
      <w:r>
        <w:t xml:space="preserve"> </w:t>
      </w:r>
      <w:r>
        <w:t xml:space="preserve">ptrznjxyrm (Yes, established take-back program for key components)</w:t>
      </w:r>
    </w:p>
    <w:p>
      <w:pPr>
        <w:pStyle w:val="FirstParagraph"/>
      </w:pPr>
      <w:r>
        <w:t xml:space="preserve">For 8.5 kg total product mass:</w:t>
      </w:r>
    </w:p>
    <w:p>
      <w:pPr>
        <w:numPr>
          <w:ilvl w:val="0"/>
          <w:numId w:val="1009"/>
        </w:numPr>
        <w:pStyle w:val="Compact"/>
      </w:pPr>
      <w:r>
        <w:rPr>
          <w:bCs/>
          <w:b/>
        </w:rPr>
        <w:t xml:space="preserve">Disposal (25%):</w:t>
      </w:r>
      <w:r>
        <w:t xml:space="preserve"> </w:t>
      </w:r>
      <w:r>
        <w:t xml:space="preserve">8.5 kg * 0.25 = 2.125 kg disposed. Assuming an illustrative disposal emission factor (e.g., landfill) of 0.1 kg CO2e/kg: 2.125 kg * 0.1 kg CO2e/kg = 0.21 kg CO2e.</w:t>
      </w:r>
    </w:p>
    <w:p>
      <w:pPr>
        <w:numPr>
          <w:ilvl w:val="0"/>
          <w:numId w:val="1009"/>
        </w:numPr>
        <w:pStyle w:val="Compact"/>
      </w:pPr>
      <w:r>
        <w:rPr>
          <w:bCs/>
          <w:b/>
        </w:rPr>
        <w:t xml:space="preserve">Recycling (75%):</w:t>
      </w:r>
      <w:r>
        <w:t xml:space="preserve"> </w:t>
      </w:r>
      <w:r>
        <w:t xml:space="preserve">The recycling process is assumed to avoid a portion of virgin material production. Illustratively, a credit of 50% of the initial material\'s embedded carbon for the recycled portion is applied.</w:t>
      </w:r>
      <w:r>
        <w:br/>
      </w:r>
      <w:r>
        <w:t xml:space="preserve">Total material carbon from BOM = 45.1 kg CO2e.</w:t>
      </w:r>
      <w:r>
        <w:br/>
      </w:r>
      <w:r>
        <w:t xml:space="preserve">Avoided emissions (credits) = 45.1 kg CO2e * 0.75 (recycled) * (-0.5) (credit factor) = -16.91 kg CO2e.</w:t>
      </w:r>
    </w:p>
    <w:p>
      <w:pPr>
        <w:pStyle w:val="FirstParagraph"/>
      </w:pPr>
      <w:r>
        <w:t xml:space="preserve">Net Emissions from End-of-Life (Scope 3) = 0.21 kg CO2e - 16.91 kg CO2e =</w:t>
      </w:r>
      <w:r>
        <w:t xml:space="preserve"> </w:t>
      </w:r>
      <w:r>
        <w:rPr>
          <w:bCs/>
          <w:b/>
        </w:rPr>
        <w:t xml:space="preserve">-16.70 kg CO2e</w:t>
      </w:r>
      <w:r>
        <w:t xml:space="preserve"> </w:t>
      </w:r>
      <w:r>
        <w:t xml:space="preserve">(a net credit).</w:t>
      </w:r>
    </w:p>
    <w:p>
      <w:r>
        <w:pict>
          <v:rect style="width:0;height:1.5pt" o:hralign="center" o:hrstd="t" o:hr="t"/>
        </w:pict>
      </w:r>
    </w:p>
    <w:bookmarkEnd w:id="31"/>
    <w:bookmarkEnd w:id="32"/>
    <w:bookmarkStart w:id="34" w:name="calculate-emissions-total-co2e"/>
    <w:p>
      <w:pPr>
        <w:pStyle w:val="Heading2"/>
      </w:pPr>
      <w:r>
        <w:t xml:space="preserve">4. Calculate Emissions (Total CO2e)</w:t>
      </w:r>
    </w:p>
    <w:p>
      <w:pPr>
        <w:pStyle w:val="FirstParagraph"/>
      </w:pPr>
      <w:r>
        <w:t xml:space="preserve">The total carbon footprint for rvidiwljks is calculated by summing the emissions from each lifecycle stage, categorized by GHG Protocol scopes.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Raw Material Acquisition &amp; Processing (BOM)</w:t>
            </w:r>
          </w:p>
        </w:tc>
        <w:tc>
          <w:tcPr/>
          <w:p>
            <w:pPr>
              <w:pStyle w:val="Compact"/>
              <w:jc w:val="left"/>
            </w:pPr>
            <w:r>
              <w:t xml:space="preserve">Scope 3 (Purchased Goods &amp; Services)</w:t>
            </w:r>
          </w:p>
        </w:tc>
        <w:tc>
          <w:tcPr/>
          <w:p>
            <w:pPr>
              <w:pStyle w:val="Compact"/>
              <w:jc w:val="left"/>
            </w:pPr>
            <w:r>
              <w:t xml:space="preserve">45.10</w:t>
            </w:r>
          </w:p>
        </w:tc>
      </w:tr>
      <w:tr>
        <w:tc>
          <w:tcPr/>
          <w:p>
            <w:pPr>
              <w:pStyle w:val="Compact"/>
              <w:jc w:val="left"/>
            </w:pPr>
            <w:r>
              <w:t xml:space="preserve">Manufacturing / Production Energy</w:t>
            </w:r>
          </w:p>
        </w:tc>
        <w:tc>
          <w:tcPr/>
          <w:p>
            <w:pPr>
              <w:pStyle w:val="Compact"/>
              <w:jc w:val="left"/>
            </w:pPr>
            <w:r>
              <w:t xml:space="preserve">Scope 2 (Purchased Energy)</w:t>
            </w:r>
          </w:p>
        </w:tc>
        <w:tc>
          <w:tcPr/>
          <w:p>
            <w:pPr>
              <w:pStyle w:val="Compact"/>
              <w:jc w:val="left"/>
            </w:pPr>
            <w:r>
              <w:t xml:space="preserve">3.60</w:t>
            </w:r>
          </w:p>
        </w:tc>
      </w:tr>
      <w:tr>
        <w:tc>
          <w:tcPr/>
          <w:p>
            <w:pPr>
              <w:pStyle w:val="Compact"/>
              <w:jc w:val="left"/>
            </w:pPr>
            <w:r>
              <w:t xml:space="preserve">Transportation &amp; Distribution (Upstream)</w:t>
            </w:r>
          </w:p>
        </w:tc>
        <w:tc>
          <w:tcPr/>
          <w:p>
            <w:pPr>
              <w:pStyle w:val="Compact"/>
              <w:jc w:val="left"/>
            </w:pPr>
            <w:r>
              <w:t xml:space="preserve">Scope 3 (Upstream Transportation)</w:t>
            </w:r>
          </w:p>
        </w:tc>
        <w:tc>
          <w:tcPr/>
          <w:p>
            <w:pPr>
              <w:pStyle w:val="Compact"/>
              <w:jc w:val="left"/>
            </w:pPr>
            <w:r>
              <w:t xml:space="preserve">0.85</w:t>
            </w:r>
          </w:p>
        </w:tc>
      </w:tr>
      <w:tr>
        <w:tc>
          <w:tcPr/>
          <w:p>
            <w:pPr>
              <w:pStyle w:val="Compact"/>
              <w:jc w:val="left"/>
            </w:pPr>
            <w:r>
              <w:t xml:space="preserve">Transportation &amp; Distribution (Downstream / Last-Mile)</w:t>
            </w:r>
          </w:p>
        </w:tc>
        <w:tc>
          <w:tcPr/>
          <w:p>
            <w:pPr>
              <w:pStyle w:val="Compact"/>
              <w:jc w:val="left"/>
            </w:pPr>
            <w:r>
              <w:t xml:space="preserve">Scope 3 (Downstream Transportation)</w:t>
            </w:r>
          </w:p>
        </w:tc>
        <w:tc>
          <w:tcPr/>
          <w:p>
            <w:pPr>
              <w:pStyle w:val="Compact"/>
              <w:jc w:val="left"/>
            </w:pPr>
            <w:r>
              <w:t xml:space="preserve">1.28</w:t>
            </w:r>
          </w:p>
        </w:tc>
      </w:tr>
      <w:tr>
        <w:tc>
          <w:tcPr/>
          <w:p>
            <w:pPr>
              <w:pStyle w:val="Compact"/>
              <w:jc w:val="left"/>
            </w:pPr>
            <w:r>
              <w:t xml:space="preserve">Use Phase</w:t>
            </w:r>
          </w:p>
        </w:tc>
        <w:tc>
          <w:tcPr/>
          <w:p>
            <w:pPr>
              <w:pStyle w:val="Compact"/>
              <w:jc w:val="left"/>
            </w:pPr>
            <w:r>
              <w:t xml:space="preserve">Scope 3 (Use of Sold Products)</w:t>
            </w:r>
          </w:p>
        </w:tc>
        <w:tc>
          <w:tcPr/>
          <w:p>
            <w:pPr>
              <w:pStyle w:val="Compact"/>
              <w:jc w:val="left"/>
            </w:pPr>
            <w:r>
              <w:t xml:space="preserve">25.00</w:t>
            </w:r>
          </w:p>
        </w:tc>
      </w:tr>
      <w:tr>
        <w:tc>
          <w:tcPr/>
          <w:p>
            <w:pPr>
              <w:pStyle w:val="Compact"/>
              <w:jc w:val="left"/>
            </w:pPr>
            <w:r>
              <w:t xml:space="preserve">End-of-Life</w:t>
            </w:r>
          </w:p>
        </w:tc>
        <w:tc>
          <w:tcPr/>
          <w:p>
            <w:pPr>
              <w:pStyle w:val="Compact"/>
              <w:jc w:val="left"/>
            </w:pPr>
            <w:r>
              <w:t xml:space="preserve">Scope 3 (End-of-Life Treatment)</w:t>
            </w:r>
          </w:p>
        </w:tc>
        <w:tc>
          <w:tcPr/>
          <w:p>
            <w:pPr>
              <w:pStyle w:val="Compact"/>
              <w:jc w:val="left"/>
            </w:pPr>
            <w:r>
              <w:t xml:space="preserve">-16.70</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59.13 kg CO2e</w:t>
            </w:r>
          </w:p>
        </w:tc>
      </w:tr>
    </w:tbl>
    <w:p>
      <w:pPr>
        <w:pStyle w:val="BodyText"/>
      </w:pPr>
      <w:r>
        <w:rPr>
          <w:bCs/>
          <w:b/>
        </w:rPr>
        <w:t xml:space="preserve">Note on Total Product Carbon Footprint:</w:t>
      </w:r>
      <w:r>
        <w:t xml:space="preserve"> </w:t>
      </w:r>
      <w:r>
        <w:t xml:space="preserve">The sum of the calculated values is 45.10 + 3.60 + 0.85 + 1.28 + 25.00 - 16.70 = 59.13 kg CO2e.</w:t>
      </w:r>
    </w:p>
    <w:bookmarkStart w:id="33" w:name="breakdown-by-ghg-protocol-scope"/>
    <w:p>
      <w:pPr>
        <w:pStyle w:val="Heading3"/>
      </w:pPr>
      <w:r>
        <w:t xml:space="preserve">4.1. Breakdown by GHG Protocol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Description</w:t>
            </w:r>
          </w:p>
        </w:tc>
        <w:tc>
          <w:tcPr/>
          <w:p>
            <w:pPr>
              <w:pStyle w:val="Compact"/>
              <w:jc w:val="left"/>
            </w:pPr>
            <w:r>
              <w:t xml:space="preserve">Emissions (kg CO2e)</w:t>
            </w:r>
          </w:p>
        </w:tc>
        <w:tc>
          <w:tcPr/>
          <w:p>
            <w:pPr>
              <w:pStyle w:val="Compact"/>
              <w:jc w:val="left"/>
            </w:pPr>
            <w:r>
              <w:t xml:space="preserve">Percentage of Total</w:t>
            </w:r>
          </w:p>
        </w:tc>
      </w:tr>
      <w:tr>
        <w:tc>
          <w:tcPr/>
          <w:p>
            <w:pPr>
              <w:pStyle w:val="Compact"/>
              <w:jc w:val="left"/>
            </w:pPr>
            <w:r>
              <w:rPr>
                <w:bCs/>
                <w:b/>
              </w:rPr>
              <w:t xml:space="preserve">Scope 1</w:t>
            </w:r>
          </w:p>
        </w:tc>
        <w:tc>
          <w:tcPr/>
          <w:p>
            <w:pPr>
              <w:pStyle w:val="Compact"/>
              <w:jc w:val="left"/>
            </w:pPr>
            <w:r>
              <w:t xml:space="preserve">Direct emissions from owned or controlled sources.</w:t>
            </w:r>
          </w:p>
        </w:tc>
        <w:tc>
          <w:tcPr/>
          <w:p>
            <w:pPr>
              <w:pStyle w:val="Compact"/>
              <w:jc w:val="left"/>
            </w:pPr>
            <w:r>
              <w:t xml:space="preserve">0.00</w:t>
            </w:r>
          </w:p>
        </w:tc>
        <w:tc>
          <w:tcPr/>
          <w:p>
            <w:pPr>
              <w:pStyle w:val="Compact"/>
              <w:jc w:val="left"/>
            </w:pPr>
            <w:r>
              <w:t xml:space="preserve">0.0%</w:t>
            </w:r>
          </w:p>
        </w:tc>
      </w:tr>
      <w:tr>
        <w:tc>
          <w:tcPr/>
          <w:p>
            <w:pPr>
              <w:pStyle w:val="Compact"/>
              <w:jc w:val="left"/>
            </w:pPr>
            <w:r>
              <w:rPr>
                <w:bCs/>
                <w:b/>
              </w:rPr>
              <w:t xml:space="preserve">Scope 2</w:t>
            </w:r>
          </w:p>
        </w:tc>
        <w:tc>
          <w:tcPr/>
          <w:p>
            <w:pPr>
              <w:pStyle w:val="Compact"/>
              <w:jc w:val="left"/>
            </w:pPr>
            <w:r>
              <w:t xml:space="preserve">Indirect emissions from the generation of purchased energy.</w:t>
            </w:r>
          </w:p>
        </w:tc>
        <w:tc>
          <w:tcPr/>
          <w:p>
            <w:pPr>
              <w:pStyle w:val="Compact"/>
              <w:jc w:val="left"/>
            </w:pPr>
            <w:r>
              <w:t xml:space="preserve">3.60</w:t>
            </w:r>
          </w:p>
        </w:tc>
        <w:tc>
          <w:tcPr/>
          <w:p>
            <w:pPr>
              <w:pStyle w:val="Compact"/>
              <w:jc w:val="left"/>
            </w:pPr>
            <w:r>
              <w:t xml:space="preserve">6.1%</w:t>
            </w:r>
          </w:p>
        </w:tc>
      </w:tr>
      <w:tr>
        <w:tc>
          <w:tcPr/>
          <w:p>
            <w:pPr>
              <w:pStyle w:val="Compact"/>
              <w:jc w:val="left"/>
            </w:pPr>
            <w:r>
              <w:rPr>
                <w:bCs/>
                <w:b/>
              </w:rPr>
              <w:t xml:space="preserve">Scope 3</w:t>
            </w:r>
          </w:p>
        </w:tc>
        <w:tc>
          <w:tcPr/>
          <w:p>
            <w:pPr>
              <w:pStyle w:val="Compact"/>
              <w:jc w:val="left"/>
            </w:pPr>
            <w:r>
              <w:t xml:space="preserve">All other indirect emissions that occur in a company\'s value chain.</w:t>
            </w:r>
          </w:p>
        </w:tc>
        <w:tc>
          <w:tcPr/>
          <w:p>
            <w:pPr>
              <w:pStyle w:val="Compact"/>
              <w:jc w:val="left"/>
            </w:pPr>
            <w:r>
              <w:t xml:space="preserve">55.53</w:t>
            </w:r>
          </w:p>
        </w:tc>
        <w:tc>
          <w:tcPr/>
          <w:p>
            <w:pPr>
              <w:pStyle w:val="Compact"/>
              <w:jc w:val="left"/>
            </w:pPr>
            <w:r>
              <w:t xml:space="preserve">93.9%</w:t>
            </w:r>
          </w:p>
        </w:tc>
      </w:tr>
      <w:tr>
        <w:tc>
          <w:tcPr>
            <w:gridSpan w:val="2"/>
          </w:tcPr>
          <w:p>
            <w:pPr>
              <w:pStyle w:val="Compact"/>
              <w:jc w:val="right"/>
            </w:pPr>
            <w:r>
              <w:rPr>
                <w:bCs/>
                <w:b/>
              </w:rPr>
              <w:t xml:space="preserve">Total PCF:</w:t>
            </w:r>
          </w:p>
        </w:tc>
        <w:tc>
          <w:tcPr/>
          <w:p>
            <w:pPr>
              <w:pStyle w:val="Compact"/>
              <w:jc w:val="left"/>
            </w:pPr>
            <w:r>
              <w:rPr>
                <w:bCs/>
                <w:b/>
              </w:rPr>
              <w:t xml:space="preserve">59.13</w:t>
            </w:r>
          </w:p>
        </w:tc>
        <w:tc>
          <w:tcPr/>
          <w:p>
            <w:pPr>
              <w:pStyle w:val="Compact"/>
              <w:jc w:val="left"/>
            </w:pPr>
            <w:r>
              <w:rPr>
                <w:bCs/>
                <w:b/>
              </w:rPr>
              <w:t xml:space="preserve">100.0%</w:t>
            </w:r>
          </w:p>
        </w:tc>
      </w:tr>
    </w:tbl>
    <w:p>
      <w:pPr>
        <w:pStyle w:val="BodyText"/>
      </w:pPr>
      <w:r>
        <w:t xml:space="preserve">As per the 2026 requirements, Scope 3 emissions constitute the vast majority of the product\'s footprint (93.9%), demonstrating comprehensive coverage of the value chain.</w:t>
      </w:r>
    </w:p>
    <w:p>
      <w:r>
        <w:pict>
          <v:rect style="width:0;height:1.5pt" o:hralign="center" o:hrstd="t" o:hr="t"/>
        </w:pict>
      </w:r>
    </w:p>
    <w:bookmarkEnd w:id="33"/>
    <w:bookmarkEnd w:id="34"/>
    <w:bookmarkStart w:id="40" w:name="review-report"/>
    <w:p>
      <w:pPr>
        <w:pStyle w:val="Heading2"/>
      </w:pPr>
      <w:r>
        <w:t xml:space="preserve">5. Review &amp; Report</w:t>
      </w:r>
    </w:p>
    <w:bookmarkStart w:id="35" w:name="hotspots-analysis"/>
    <w:p>
      <w:pPr>
        <w:pStyle w:val="Heading3"/>
      </w:pPr>
      <w:r>
        <w:t xml:space="preserve">5.1. Hotspots Analysis</w:t>
      </w:r>
    </w:p>
    <w:p>
      <w:pPr>
        <w:pStyle w:val="FirstParagraph"/>
      </w:pPr>
      <w:r>
        <w:t xml:space="preserve">The analysis identifies the following key emission hotspots for rvidiwljks:</w:t>
      </w:r>
    </w:p>
    <w:p>
      <w:pPr>
        <w:numPr>
          <w:ilvl w:val="0"/>
          <w:numId w:val="1010"/>
        </w:numPr>
        <w:pStyle w:val="Compact"/>
      </w:pPr>
      <w:r>
        <w:rPr>
          <w:bCs/>
          <w:b/>
        </w:rPr>
        <w:t xml:space="preserve">Use Phase (25.0 kg CO2e):</w:t>
      </w:r>
      <w:r>
        <w:t xml:space="preserve"> </w:t>
      </w:r>
      <w:r>
        <w:t xml:space="preserve">This is the most significant contributor, primarily due to the electricity consumption over the product\'s 5-year lifespan. This highlights the importance of energy efficiency and the decarbonization of the energy grid where the product is used.</w:t>
      </w:r>
    </w:p>
    <w:p>
      <w:pPr>
        <w:numPr>
          <w:ilvl w:val="0"/>
          <w:numId w:val="1010"/>
        </w:numPr>
        <w:pStyle w:val="Compact"/>
      </w:pPr>
      <w:r>
        <w:rPr>
          <w:bCs/>
          <w:b/>
        </w:rPr>
        <w:t xml:space="preserve">Raw Material Acquisition &amp; Processing (45.1 kg CO2e):</w:t>
      </w:r>
      <w:r>
        <w:t xml:space="preserve"> </w:t>
      </w:r>
      <w:r>
        <w:t xml:space="preserve">The production of materials, particularly Aluminum Alloy, represents a substantial portion of the upstream emissions. This emphasizes the need for sustainable sourcing and material efficiency.</w:t>
      </w:r>
    </w:p>
    <w:p>
      <w:pPr>
        <w:numPr>
          <w:ilvl w:val="0"/>
          <w:numId w:val="1010"/>
        </w:numPr>
        <w:pStyle w:val="Compact"/>
      </w:pPr>
      <w:r>
        <w:rPr>
          <w:bCs/>
          <w:b/>
        </w:rPr>
        <w:t xml:space="preserve">End-of-Life (Net Credit of -16.70 kg CO2e):</w:t>
      </w:r>
      <w:r>
        <w:t xml:space="preserve"> </w:t>
      </w:r>
      <w:r>
        <w:t xml:space="preserve">The high recyclability rate and established take-back programs provide a significant carbon credit, reducing the overall footprint. This demonstrates the positive impact of circular economy initiatives.</w:t>
      </w:r>
    </w:p>
    <w:p>
      <w:pPr>
        <w:numPr>
          <w:ilvl w:val="0"/>
          <w:numId w:val="1010"/>
        </w:numPr>
        <w:pStyle w:val="Compact"/>
      </w:pPr>
      <w:r>
        <w:rPr>
          <w:bCs/>
          <w:b/>
        </w:rPr>
        <w:t xml:space="preserve">Production Energy (3.6 kg CO2e):</w:t>
      </w:r>
      <w:r>
        <w:t xml:space="preserve"> </w:t>
      </w:r>
      <w:r>
        <w:t xml:space="preserve">While renewable energy usage is at 60%, the remaining non-renewable electricity contributes to the footprint, pointing to further opportunities for renewable energy integration.</w:t>
      </w:r>
    </w:p>
    <w:bookmarkEnd w:id="35"/>
    <w:bookmarkStart w:id="36" w:name="reliability-and-limitations"/>
    <w:p>
      <w:pPr>
        <w:pStyle w:val="Heading3"/>
      </w:pPr>
      <w:r>
        <w:t xml:space="preserve">5.2. Reliability and Limitations</w:t>
      </w:r>
    </w:p>
    <w:p>
      <w:pPr>
        <w:pStyle w:val="FirstParagraph"/>
      </w:pPr>
      <w:r>
        <w:t xml:space="preserve">The reliability of this report is high, given the adherence to the GHG Protocol and the use of specific, detailed parameters. However, certain limitations apply:</w:t>
      </w:r>
    </w:p>
    <w:p>
      <w:pPr>
        <w:numPr>
          <w:ilvl w:val="0"/>
          <w:numId w:val="1011"/>
        </w:numPr>
        <w:pStyle w:val="Compact"/>
      </w:pPr>
      <w:r>
        <w:rPr>
          <w:bCs/>
          <w:b/>
        </w:rPr>
        <w:t xml:space="preserve">Illustrative Emission Factors:</w:t>
      </w:r>
      <w:r>
        <w:t xml:space="preserve"> </w:t>
      </w:r>
      <w:r>
        <w:t xml:space="preserve">While industry-standard, some emission factors for general processes and transport modes (e.g., "Select Mode," "Delivery Type") were based on representative averages due to the generalized nature of the provided parameters. Real-world values might vary.</w:t>
      </w:r>
    </w:p>
    <w:p>
      <w:pPr>
        <w:numPr>
          <w:ilvl w:val="0"/>
          <w:numId w:val="1011"/>
        </w:numPr>
        <w:pStyle w:val="Compact"/>
      </w:pPr>
      <w:r>
        <w:rPr>
          <w:bCs/>
          <w:b/>
        </w:rPr>
        <w:t xml:space="preserve">Data Specificity:</w:t>
      </w:r>
      <w:r>
        <w:t xml:space="preserve"> </w:t>
      </w:r>
      <w:r>
        <w:t xml:space="preserve">The BOM (peddelwr) provided specific "Total Carbon" values, which were directly utilized. The accuracy of these values is paramount to the overall report.</w:t>
      </w:r>
    </w:p>
    <w:p>
      <w:pPr>
        <w:numPr>
          <w:ilvl w:val="0"/>
          <w:numId w:val="1011"/>
        </w:numPr>
        <w:pStyle w:val="Compact"/>
      </w:pPr>
      <w:r>
        <w:rPr>
          <w:bCs/>
          <w:b/>
        </w:rPr>
        <w:t xml:space="preserve">Boundary Conditions:</w:t>
      </w:r>
      <w:r>
        <w:t xml:space="preserve"> </w:t>
      </w:r>
      <w:r>
        <w:t xml:space="preserve">The \'factory_gate\' system boundary for the initial phases, expanded with Use and EoL, provides a robust view, but some indirect impacts outside this defined scope may exist.</w:t>
      </w:r>
    </w:p>
    <w:p>
      <w:pPr>
        <w:numPr>
          <w:ilvl w:val="0"/>
          <w:numId w:val="1011"/>
        </w:numPr>
        <w:pStyle w:val="Compact"/>
      </w:pPr>
      <w:r>
        <w:rPr>
          <w:bCs/>
          <w:b/>
        </w:rPr>
        <w:t xml:space="preserve">LSR Standard:</w:t>
      </w:r>
      <w:r>
        <w:t xml:space="preserve"> </w:t>
      </w:r>
      <w:r>
        <w:t xml:space="preserve">While applied, direct land-use change data was not provided for this specific product, so its impact is primarily reflected through embedded emissions in materials.</w:t>
      </w:r>
    </w:p>
    <w:bookmarkEnd w:id="36"/>
    <w:bookmarkStart w:id="39" w:name="recommendations-for-emission-reduction"/>
    <w:p>
      <w:pPr>
        <w:pStyle w:val="Heading3"/>
      </w:pPr>
      <w:r>
        <w:t xml:space="preserve">5.3. Recommendations for Emission Reduction</w:t>
      </w:r>
    </w:p>
    <w:p>
      <w:pPr>
        <w:pStyle w:val="FirstParagraph"/>
      </w:pPr>
      <w:r>
        <w:t xml:space="preserve">Based on the hotspots analysis, the following recommendations are provided for hizugjsjvh to reduce the carbon footprint of rvidiwljks:</w:t>
      </w:r>
    </w:p>
    <w:p>
      <w:pPr>
        <w:numPr>
          <w:ilvl w:val="0"/>
          <w:numId w:val="1012"/>
        </w:numPr>
        <w:pStyle w:val="Compact"/>
      </w:pPr>
      <w:r>
        <w:rPr>
          <w:bCs/>
          <w:b/>
        </w:rPr>
        <w:t xml:space="preserve">Enhance Use Phase Efficiency:</w:t>
      </w:r>
      <w:r>
        <w:t xml:space="preserve"> </w:t>
      </w:r>
      <w:r>
        <w:t xml:space="preserve">Invest in R&amp;D for more energy-efficient designs to reduce energy consumption during the product\'s lifespan. Promote user awareness regarding efficient product use.</w:t>
      </w:r>
    </w:p>
    <w:p>
      <w:pPr>
        <w:numPr>
          <w:ilvl w:val="0"/>
          <w:numId w:val="1012"/>
        </w:numPr>
        <w:pStyle w:val="Compact"/>
      </w:pPr>
      <w:r>
        <w:rPr>
          <w:bCs/>
          <w:b/>
        </w:rPr>
        <w:t xml:space="preserve">Decarbonize Supply Chain (Materials):</w:t>
      </w:r>
      <w:r>
        <w:t xml:space="preserve"> </w:t>
      </w:r>
      <w:r>
        <w:t xml:space="preserve">Explore suppliers using lower-carbon production methods for high-impact materials (e.g., green aluminum, recycled plastics). Investigate opportunities for increasing recycled content in raw materials.</w:t>
      </w:r>
    </w:p>
    <w:p>
      <w:pPr>
        <w:numPr>
          <w:ilvl w:val="0"/>
          <w:numId w:val="1012"/>
        </w:numPr>
        <w:pStyle w:val="Compact"/>
      </w:pPr>
      <w:r>
        <w:rPr>
          <w:bCs/>
          <w:b/>
        </w:rPr>
        <w:t xml:space="preserve">Increase Renewable Energy in Production:</w:t>
      </w:r>
      <w:r>
        <w:t xml:space="preserve"> </w:t>
      </w:r>
      <w:r>
        <w:t xml:space="preserve">Aim for 100% renewable energy procurement for manufacturing operations in China, potentially through on-site generation or certified renewable energy credits.</w:t>
      </w:r>
    </w:p>
    <w:p>
      <w:pPr>
        <w:numPr>
          <w:ilvl w:val="0"/>
          <w:numId w:val="1012"/>
        </w:numPr>
        <w:pStyle w:val="Compact"/>
      </w:pPr>
      <w:r>
        <w:rPr>
          <w:bCs/>
          <w:b/>
        </w:rPr>
        <w:t xml:space="preserve">Optimize Logistics:</w:t>
      </w:r>
      <w:r>
        <w:t xml:space="preserve"> </w:t>
      </w:r>
      <w:r>
        <w:t xml:space="preserve">Evaluate opportunities for optimizing transport routes, consolidating shipments, and utilizing lower-emission transport modes where feasible (e.g., rail over road for longer distances within Europe).</w:t>
      </w:r>
    </w:p>
    <w:p>
      <w:pPr>
        <w:numPr>
          <w:ilvl w:val="0"/>
          <w:numId w:val="1012"/>
        </w:numPr>
        <w:pStyle w:val="Compact"/>
      </w:pPr>
      <w:r>
        <w:rPr>
          <w:bCs/>
          <w:b/>
        </w:rPr>
        <w:t xml:space="preserve">Strengthen Circular Economy:</w:t>
      </w:r>
      <w:r>
        <w:t xml:space="preserve"> </w:t>
      </w:r>
      <w:r>
        <w:t xml:space="preserve">Continue and expand circular design principles, including repairability, modularity, and enhanced take-back schemes, to maximize resource efficiency and recycling benefits.</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bookmarkStart w:id="37" w:name="page-num"/>
      <w:bookmarkEnd w:id="37"/>
      <w:r>
        <w:t xml:space="preserve"> </w:t>
      </w:r>
      <w:r>
        <w:t xml:space="preserve">of</w:t>
      </w:r>
      <w:r>
        <w:t xml:space="preserve"> </w:t>
      </w:r>
      <w:bookmarkStart w:id="38" w:name="page-count"/>
      <w:bookmarkEnd w:id="38"/>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rvidiwljks</dc:title>
  <dc:creator/>
  <dc:description>Product Carbon Footprint (PCF) analysis report for rvidiwljks by hizugjsjvh, conducted by hrrkvgzpoz, a Senior Sustainability Consultant specializing in GHG Protocol. This report details emissions across the product lifecycle, adhering to 2026 GHG Protocol and LSR Standard requirements.</dc:description>
  <dc:language>en</dc:language>
  <cp:keywords/>
  <dcterms:created xsi:type="dcterms:W3CDTF">2026-05-30T19:20:48Z</dcterms:created>
  <dcterms:modified xsi:type="dcterms:W3CDTF">2026-05-30T19:20:48Z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