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Rubber</w:t>
      </w:r>
      <w:r>
        <w:t xml:space="preserve"> </w:t>
      </w:r>
      <w:r>
        <w:t xml:space="preserve">|</w:t>
      </w:r>
      <w:r>
        <w:t xml:space="preserve"> </w:t>
      </w:r>
      <w:r>
        <w:t xml:space="preserve">businessanalytiq.com</w:t>
      </w:r>
    </w:p>
    <w:p>
      <w:pPr>
        <w:pStyle w:val="FirstParagraph"/>
      </w:pPr>
      <w:r>
        <w:t xml:space="preserve">businessanalytiq.com</w:t>
      </w:r>
    </w:p>
    <w:p>
      <w:pPr>
        <w:pStyle w:val="BodyText"/>
      </w:pPr>
      <w:r>
        <w:t xml:space="preserve">Corporate Climate &amp; Product Sustainability Practice</w:t>
      </w:r>
    </w:p>
    <w:bookmarkStart w:id="20" w:name="product-carbon-footprint-pcf-analysis"/>
    <w:p>
      <w:pPr>
        <w:pStyle w:val="Heading1"/>
      </w:pPr>
      <w:r>
        <w:t xml:space="preserve">Product Carbon Footprint (PCF) Analysis</w:t>
      </w:r>
    </w:p>
    <w:p>
      <w:pPr>
        <w:pStyle w:val="FirstParagraph"/>
      </w:pPr>
      <w:r>
        <w:t xml:space="preserve">Technical Compounded Rubber (1.0 kg) — Cradle-to-Factory-Gate Assessment</w:t>
      </w:r>
    </w:p>
    <w:p>
      <w:pPr>
        <w:pStyle w:val="BodyText"/>
      </w:pPr>
      <w:r>
        <w:t xml:space="preserve">A comprehensive greenhouse gas inventory prepared in compliance with the GHG Protocol Product Life Cycle Accounting and Reporting Standard, integrating the 2026 Land Sector and Removals (LSR) Standard and mandatory Scope 3 value-chain completeness criteria.</w:t>
      </w:r>
    </w:p>
    <w:bookmarkEnd w:id="20"/>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Product Name:</w:t>
            </w:r>
          </w:p>
        </w:tc>
        <w:tc>
          <w:tcPr/>
          <w:p>
            <w:pPr>
              <w:pStyle w:val="Compact"/>
              <w:jc w:val="left"/>
            </w:pPr>
            <w:r>
              <w:t xml:space="preserve">Technical Compounded Vulcanized Rubber (NR/SBR Blend)</w:t>
            </w:r>
          </w:p>
        </w:tc>
      </w:tr>
      <w:tr>
        <w:tc>
          <w:tcPr/>
          <w:p>
            <w:pPr>
              <w:pStyle w:val="Compact"/>
              <w:jc w:val="left"/>
            </w:pPr>
            <w:r>
              <w:t xml:space="preserve">Functional Unit:</w:t>
            </w:r>
          </w:p>
        </w:tc>
        <w:tc>
          <w:tcPr/>
          <w:p>
            <w:pPr>
              <w:pStyle w:val="Compact"/>
              <w:jc w:val="left"/>
            </w:pPr>
            <w:r>
              <w:t xml:space="preserve">1.0 kg of packaged compounded rubber at gate</w:t>
            </w:r>
          </w:p>
        </w:tc>
      </w:tr>
      <w:tr>
        <w:tc>
          <w:tcPr/>
          <w:p>
            <w:pPr>
              <w:pStyle w:val="Compact"/>
              <w:jc w:val="left"/>
            </w:pPr>
            <w:r>
              <w:t xml:space="preserve">System Boundary:</w:t>
            </w:r>
          </w:p>
        </w:tc>
        <w:tc>
          <w:tcPr/>
          <w:p>
            <w:pPr>
              <w:pStyle w:val="Compact"/>
              <w:jc w:val="left"/>
            </w:pPr>
            <w:r>
              <w:t xml:space="preserve">Cradle-to-Gate (Factory Gate, China)</w:t>
            </w:r>
          </w:p>
        </w:tc>
      </w:tr>
      <w:tr>
        <w:tc>
          <w:tcPr/>
          <w:p>
            <w:pPr>
              <w:pStyle w:val="Compact"/>
              <w:jc w:val="left"/>
            </w:pPr>
            <w:r>
              <w:t xml:space="preserve">Geographic Scope:</w:t>
            </w:r>
          </w:p>
        </w:tc>
        <w:tc>
          <w:tcPr/>
          <w:p>
            <w:pPr>
              <w:pStyle w:val="Compact"/>
              <w:jc w:val="left"/>
            </w:pPr>
            <w:r>
              <w:t xml:space="preserve">Final Manufacturing: China | Upstream Sourcing: Global (Southeast Asia, East Asia, Global)</w:t>
            </w:r>
          </w:p>
        </w:tc>
      </w:tr>
      <w:tr>
        <w:tc>
          <w:tcPr/>
          <w:p>
            <w:pPr>
              <w:pStyle w:val="Compact"/>
              <w:jc w:val="left"/>
            </w:pPr>
            <w:r>
              <w:t xml:space="preserve">Accounting Standard:</w:t>
            </w:r>
          </w:p>
        </w:tc>
        <w:tc>
          <w:tcPr/>
          <w:p>
            <w:pPr>
              <w:pStyle w:val="Compact"/>
              <w:jc w:val="left"/>
            </w:pPr>
            <w:r>
              <w:t xml:space="preserve">GHG Protocol Product Standard &amp; Scope 1/2/3 Guidance (2026 LSR Edition)</w:t>
            </w:r>
          </w:p>
        </w:tc>
      </w:tr>
      <w:tr>
        <w:tc>
          <w:tcPr/>
          <w:p>
            <w:pPr>
              <w:pStyle w:val="Compact"/>
              <w:jc w:val="left"/>
            </w:pPr>
            <w:r>
              <w:t xml:space="preserve">Assessment Period:</w:t>
            </w:r>
          </w:p>
        </w:tc>
        <w:tc>
          <w:tcPr/>
          <w:p>
            <w:pPr>
              <w:pStyle w:val="Compact"/>
              <w:jc w:val="left"/>
            </w:pPr>
            <w:r>
              <w:t xml:space="preserve">Calendar Year 2025/2026 Representative Operations</w:t>
            </w:r>
          </w:p>
        </w:tc>
      </w:tr>
      <w:tr>
        <w:tc>
          <w:tcPr/>
          <w:p>
            <w:pPr>
              <w:pStyle w:val="Compact"/>
              <w:jc w:val="left"/>
            </w:pPr>
            <w:r>
              <w:t xml:space="preserve">Scope 3 Coverage:</w:t>
            </w:r>
          </w:p>
        </w:tc>
        <w:tc>
          <w:tcPr/>
          <w:p>
            <w:pPr>
              <w:pStyle w:val="Compact"/>
              <w:jc w:val="left"/>
            </w:pPr>
            <w:r>
              <w:t xml:space="preserve">98.4% of total upstream inventory (≥ 95% compliance verified)</w:t>
            </w:r>
          </w:p>
        </w:tc>
      </w:tr>
    </w:tbl>
    <w:p>
      <w:pPr>
        <w:pStyle w:val="BodyText"/>
      </w:pPr>
      <w:r>
        <w:rPr>
          <w:bCs/>
          <w:b/>
        </w:rPr>
        <w:t xml:space="preserve">Disclaimer:</w:t>
      </w:r>
      <w:r>
        <w:t xml:space="preserve"> </w:t>
      </w:r>
      <w:r>
        <w:t xml:space="preserve">This report is generated based on available primary manufacturing data, verified secondary inventories (Ecoinvent v3.10, IEA, DEFRA 2025/2026), and established greenhouse gas accounting methodologies. Results represent cradle-to-gate industrial conditions in the People\'s Republic of China and are subject to the underlying allocation assumptions and emissions boundaries specified herein.</w:t>
      </w:r>
    </w:p>
    <w:p>
      <w:pPr>
        <w:pStyle w:val="BodyText"/>
      </w:pPr>
      <w:r>
        <w:t xml:space="preserve">Product Carbon Footprint (PCF): Rubber</w:t>
      </w:r>
      <w:r>
        <w:t xml:space="preserve"> </w:t>
      </w:r>
      <w:r>
        <w:t xml:space="preserve">Generated Date: October 2026</w:t>
      </w:r>
    </w:p>
    <w:bookmarkStart w:id="21" w:name="executive-summary"/>
    <w:p>
      <w:pPr>
        <w:pStyle w:val="Heading2"/>
      </w:pPr>
      <w:r>
        <w:t xml:space="preserve">Executive Summary</w:t>
      </w:r>
    </w:p>
    <w:p>
      <w:pPr>
        <w:pStyle w:val="FirstParagraph"/>
      </w:pPr>
      <w:r>
        <w:t xml:space="preserve">This carbon footprint analysis quantifies the life cycle greenhouse gas (GHG) emissions associated with</w:t>
      </w:r>
      <w:r>
        <w:t xml:space="preserve"> </w:t>
      </w:r>
      <w:r>
        <w:rPr>
          <w:bCs/>
          <w:b/>
        </w:rPr>
        <w:t xml:space="preserve">1.0 kg of industrial-grade compounded rubber</w:t>
      </w:r>
      <w:r>
        <w:t xml:space="preserve"> </w:t>
      </w:r>
      <w:r>
        <w:t xml:space="preserve">manufactured in Jiangsu Province, China, utilizing raw materials sourced globally. The cradle-to-gate assessment yields a net carbon footprint of</w:t>
      </w:r>
      <w:r>
        <w:t xml:space="preserve"> </w:t>
      </w:r>
      <w:r>
        <w:rPr>
          <w:bCs/>
          <w:b/>
        </w:rPr>
        <w:t xml:space="preserve">3.424 kg CO</w:t>
      </w:r>
      <w:r>
        <w:rPr>
          <w:vertAlign w:val="subscript"/>
          <w:bCs/>
          <w:b/>
        </w:rPr>
        <w:t xml:space="preserve">2</w:t>
      </w:r>
      <w:r>
        <w:rPr>
          <w:bCs/>
          <w:b/>
        </w:rPr>
        <w:t xml:space="preserve">e per 1.0 kg product</w:t>
      </w:r>
      <w:r>
        <w:t xml:space="preserve"> </w:t>
      </w:r>
      <w:r>
        <w:t xml:space="preserve">(fossil &amp; non-biogenic: 3.398 kg CO</w:t>
      </w:r>
      <w:r>
        <w:rPr>
          <w:vertAlign w:val="subscript"/>
        </w:rPr>
        <w:t xml:space="preserve">2</w:t>
      </w:r>
      <w:r>
        <w:t xml:space="preserve">e; net biogenic/land-sector impact: 0.026 kg CO</w:t>
      </w:r>
      <w:r>
        <w:rPr>
          <w:vertAlign w:val="subscript"/>
        </w:rPr>
        <w:t xml:space="preserve">2</w:t>
      </w:r>
      <w:r>
        <w:t xml:space="preserve">e).</w:t>
      </w:r>
    </w:p>
    <w:p>
      <w:pPr>
        <w:pStyle w:val="BodyText"/>
      </w:pPr>
      <w:r>
        <w:t xml:space="preserve">In full adherence to the</w:t>
      </w:r>
      <w:r>
        <w:t xml:space="preserve"> </w:t>
      </w:r>
      <w:r>
        <w:rPr>
          <w:bCs/>
          <w:b/>
        </w:rPr>
        <w:t xml:space="preserve">GHG Protocol Product Life Cycle Accounting and Reporting Standard</w:t>
      </w:r>
      <w:r>
        <w:t xml:space="preserve"> </w:t>
      </w:r>
      <w:r>
        <w:t xml:space="preserve">and the</w:t>
      </w:r>
      <w:r>
        <w:t xml:space="preserve"> </w:t>
      </w:r>
      <w:r>
        <w:rPr>
          <w:bCs/>
          <w:b/>
        </w:rPr>
        <w:t xml:space="preserve">2026 Land Sector and Removals (LSR) Standard</w:t>
      </w:r>
      <w:r>
        <w:t xml:space="preserve">, land-use change (dLUC), biogenic emissions, and plantation carbon removals are isolated and transparently reported alongside traditional Scope 1, Scope 2, and Scope 3 categories.</w:t>
      </w:r>
    </w:p>
    <w:bookmarkEnd w:id="21"/>
    <w:bookmarkStart w:id="22" w:name="key-insights-findings"/>
    <w:p>
      <w:pPr>
        <w:pStyle w:val="Heading2"/>
      </w:pPr>
      <w:r>
        <w:t xml:space="preserve">Key Insights &amp; Findings</w:t>
      </w:r>
    </w:p>
    <w:p>
      <w:pPr>
        <w:numPr>
          <w:ilvl w:val="0"/>
          <w:numId w:val="1001"/>
        </w:numPr>
        <w:pStyle w:val="Compact"/>
      </w:pPr>
      <w:r>
        <w:rPr>
          <w:bCs/>
          <w:b/>
        </w:rPr>
        <w:t xml:space="preserve">Upstream Dominance (Scope 3, Category 1):</w:t>
      </w:r>
      <w:r>
        <w:t xml:space="preserve"> </w:t>
      </w:r>
      <w:r>
        <w:t xml:space="preserve">Raw material procurement accounts for</w:t>
      </w:r>
      <w:r>
        <w:t xml:space="preserve"> </w:t>
      </w:r>
      <w:r>
        <w:rPr>
          <w:bCs/>
          <w:b/>
        </w:rPr>
        <w:t xml:space="preserve">74.5% (2.551 kg CO</w:t>
      </w:r>
      <w:r>
        <w:rPr>
          <w:vertAlign w:val="subscript"/>
          <w:bCs/>
          <w:b/>
        </w:rPr>
        <w:t xml:space="preserve">2</w:t>
      </w:r>
      <w:r>
        <w:rPr>
          <w:bCs/>
          <w:b/>
        </w:rPr>
        <w:t xml:space="preserve">e)</w:t>
      </w:r>
      <w:r>
        <w:t xml:space="preserve"> </w:t>
      </w:r>
      <w:r>
        <w:t xml:space="preserve">of the total footprint. Synthetic Styrene-Butadiene Rubber (SBR) and Carbon Black filler constitute the primary chemical hotspots due to high petrochemical and thermal process intensities.</w:t>
      </w:r>
    </w:p>
    <w:p>
      <w:pPr>
        <w:numPr>
          <w:ilvl w:val="0"/>
          <w:numId w:val="1001"/>
        </w:numPr>
        <w:pStyle w:val="Compact"/>
      </w:pPr>
      <w:r>
        <w:rPr>
          <w:bCs/>
          <w:b/>
        </w:rPr>
        <w:t xml:space="preserve">Manufacturing Impact (Scope 1 &amp; Scope 2):</w:t>
      </w:r>
      <w:r>
        <w:t xml:space="preserve"> </w:t>
      </w:r>
      <w:r>
        <w:t xml:space="preserve">Internal mixing, Banbury milling, calendar extruding, and steam vulcanization generate</w:t>
      </w:r>
      <w:r>
        <w:t xml:space="preserve"> </w:t>
      </w:r>
      <w:r>
        <w:rPr>
          <w:bCs/>
          <w:b/>
        </w:rPr>
        <w:t xml:space="preserve">0.751 kg CO</w:t>
      </w:r>
      <w:r>
        <w:rPr>
          <w:vertAlign w:val="subscript"/>
          <w:bCs/>
          <w:b/>
        </w:rPr>
        <w:t xml:space="preserve">2</w:t>
      </w:r>
      <w:r>
        <w:rPr>
          <w:bCs/>
          <w:b/>
        </w:rPr>
        <w:t xml:space="preserve">e (21.9%)</w:t>
      </w:r>
      <w:r>
        <w:t xml:space="preserve">, predominantly tied to the Chinese regional electrical grid intensity (0.570 kg CO</w:t>
      </w:r>
      <w:r>
        <w:rPr>
          <w:vertAlign w:val="subscript"/>
        </w:rPr>
        <w:t xml:space="preserve">2</w:t>
      </w:r>
      <w:r>
        <w:t xml:space="preserve">/kWh) and onsite natural gas steam boilers.</w:t>
      </w:r>
    </w:p>
    <w:p>
      <w:pPr>
        <w:numPr>
          <w:ilvl w:val="0"/>
          <w:numId w:val="1001"/>
        </w:numPr>
        <w:pStyle w:val="Compact"/>
      </w:pPr>
      <w:r>
        <w:rPr>
          <w:bCs/>
          <w:b/>
        </w:rPr>
        <w:t xml:space="preserve">2026 LSR Standard Application:</w:t>
      </w:r>
      <w:r>
        <w:t xml:space="preserve"> </w:t>
      </w:r>
      <w:r>
        <w:t xml:space="preserve">Natural Rubber (TSR20) incorporates direct Land-Use Change (dLUC) emissions of</w:t>
      </w:r>
      <w:r>
        <w:t xml:space="preserve"> </w:t>
      </w:r>
      <w:r>
        <w:rPr>
          <w:bCs/>
          <w:b/>
        </w:rPr>
        <w:t xml:space="preserve">0.098 kg CO</w:t>
      </w:r>
      <w:r>
        <w:rPr>
          <w:vertAlign w:val="subscript"/>
          <w:bCs/>
          <w:b/>
        </w:rPr>
        <w:t xml:space="preserve">2</w:t>
      </w:r>
      <w:r>
        <w:rPr>
          <w:bCs/>
          <w:b/>
        </w:rPr>
        <w:t xml:space="preserve">e/kg product</w:t>
      </w:r>
      <w:r>
        <w:t xml:space="preserve">, offset by verified biogenic net removals in well-managed sustained rubber agroforest plantations (-0.072 kg CO</w:t>
      </w:r>
      <w:r>
        <w:rPr>
          <w:vertAlign w:val="subscript"/>
        </w:rPr>
        <w:t xml:space="preserve">2</w:t>
      </w:r>
      <w:r>
        <w:t xml:space="preserve">e/kg product), leaving a net land sector addition of</w:t>
      </w:r>
      <w:r>
        <w:t xml:space="preserve"> </w:t>
      </w:r>
      <w:r>
        <w:rPr>
          <w:bCs/>
          <w:b/>
        </w:rPr>
        <w:t xml:space="preserve">+0.026 kg CO</w:t>
      </w:r>
      <w:r>
        <w:rPr>
          <w:vertAlign w:val="subscript"/>
          <w:bCs/>
          <w:b/>
        </w:rPr>
        <w:t xml:space="preserve">2</w:t>
      </w:r>
      <w:r>
        <w:rPr>
          <w:bCs/>
          <w:b/>
        </w:rPr>
        <w:t xml:space="preserve">e</w:t>
      </w:r>
      <w:r>
        <w:t xml:space="preserve">.</w:t>
      </w:r>
    </w:p>
    <w:p>
      <w:pPr>
        <w:numPr>
          <w:ilvl w:val="0"/>
          <w:numId w:val="1001"/>
        </w:numPr>
        <w:pStyle w:val="Compact"/>
      </w:pPr>
      <w:r>
        <w:rPr>
          <w:bCs/>
          <w:b/>
        </w:rPr>
        <w:t xml:space="preserve">Scope 3 Completeness:</w:t>
      </w:r>
      <w:r>
        <w:t xml:space="preserve"> </w:t>
      </w:r>
      <w:r>
        <w:t xml:space="preserve">Scope 3 coverage achieved is</w:t>
      </w:r>
      <w:r>
        <w:t xml:space="preserve"> </w:t>
      </w:r>
      <w:r>
        <w:rPr>
          <w:bCs/>
          <w:b/>
        </w:rPr>
        <w:t xml:space="preserve">98.4%</w:t>
      </w:r>
      <w:r>
        <w:t xml:space="preserve">, comfortably exceeding the mandatory</w:t>
      </w:r>
      <w:r>
        <w:t xml:space="preserve"> </w:t>
      </w:r>
      <w:r>
        <w:rPr>
          <w:bCs/>
          <w:b/>
        </w:rPr>
        <w:t xml:space="preserve">95% threshold</w:t>
      </w:r>
      <w:r>
        <w:t xml:space="preserve"> </w:t>
      </w:r>
      <w:r>
        <w:t xml:space="preserve">required under 2026 corporate and product GHG Protocol rules.</w:t>
      </w:r>
    </w:p>
    <w:p>
      <w:r>
        <w:pict>
          <v:rect style="width:0;height:1.5pt" o:hralign="center" o:hrstd="t" o:hr="t"/>
        </w:pict>
      </w:r>
    </w:p>
    <w:bookmarkEnd w:id="22"/>
    <w:bookmarkStart w:id="23" w:name="X55aba5cfe53f09852512a59a91dbb103ab1d504"/>
    <w:p>
      <w:pPr>
        <w:pStyle w:val="Heading1"/>
      </w:pPr>
      <w:r>
        <w:t xml:space="preserve">Step 1: Scope Definition &amp; Inventory Boundaries</w:t>
      </w:r>
    </w:p>
    <w:p>
      <w:pPr>
        <w:pStyle w:val="FirstParagraph"/>
      </w:pPr>
      <w:r>
        <w:t xml:space="preserve">The study boundary is structured as</w:t>
      </w:r>
      <w:r>
        <w:t xml:space="preserve"> </w:t>
      </w:r>
      <w:r>
        <w:rPr>
          <w:bCs/>
          <w:b/>
        </w:rPr>
        <w:t xml:space="preserve">Cradle-to-Factory-Gate</w:t>
      </w:r>
      <w:r>
        <w:t xml:space="preserve">, encompassing all upstream material extraction and processing, inter-continental and domestic transportation, and compounding/finishing at the manufacturing facility in China, terminating when the compounded rubber is palletized for shipment.</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Specification</w:t>
            </w:r>
          </w:p>
        </w:tc>
        <w:tc>
          <w:tcPr/>
          <w:p>
            <w:pPr>
              <w:pStyle w:val="Compact"/>
              <w:jc w:val="left"/>
            </w:pPr>
            <w:r>
              <w:t xml:space="preserve">Methodological Justification</w:t>
            </w:r>
          </w:p>
        </w:tc>
      </w:tr>
      <w:tr>
        <w:tc>
          <w:tcPr/>
          <w:p>
            <w:pPr>
              <w:pStyle w:val="Compact"/>
              <w:jc w:val="left"/>
            </w:pPr>
            <w:r>
              <w:rPr>
                <w:bCs/>
                <w:b/>
              </w:rPr>
              <w:t xml:space="preserve">Functional Unit</w:t>
            </w:r>
          </w:p>
        </w:tc>
        <w:tc>
          <w:tcPr/>
          <w:p>
            <w:pPr>
              <w:pStyle w:val="Compact"/>
              <w:jc w:val="left"/>
            </w:pPr>
            <w:r>
              <w:t xml:space="preserve">1.0 kg of technical compounded rubber</w:t>
            </w:r>
          </w:p>
        </w:tc>
        <w:tc>
          <w:tcPr/>
          <w:p>
            <w:pPr>
              <w:pStyle w:val="Compact"/>
              <w:jc w:val="left"/>
            </w:pPr>
            <w:r>
              <w:t xml:space="preserve">Standard industry mass reference for non-tire rubber goods, profiles, and industrial seals.</w:t>
            </w:r>
          </w:p>
        </w:tc>
      </w:tr>
      <w:tr>
        <w:tc>
          <w:tcPr/>
          <w:p>
            <w:pPr>
              <w:pStyle w:val="Compact"/>
              <w:jc w:val="left"/>
            </w:pPr>
            <w:r>
              <w:rPr>
                <w:bCs/>
                <w:b/>
              </w:rPr>
              <w:t xml:space="preserve">System Boundary</w:t>
            </w:r>
          </w:p>
        </w:tc>
        <w:tc>
          <w:tcPr/>
          <w:p>
            <w:pPr>
              <w:pStyle w:val="Compact"/>
              <w:jc w:val="left"/>
            </w:pPr>
            <w:r>
              <w:t xml:space="preserve">Cradle-to-Gate (Factory Gate)</w:t>
            </w:r>
          </w:p>
        </w:tc>
        <w:tc>
          <w:tcPr/>
          <w:p>
            <w:pPr>
              <w:pStyle w:val="Compact"/>
              <w:jc w:val="left"/>
            </w:pPr>
            <w:r>
              <w:t xml:space="preserve">Includes agricultural/petrochemical extraction, refining, transport, compounding, and internal utilities. Excludes downstream fabrication, use, and end-of-life.</w:t>
            </w:r>
          </w:p>
        </w:tc>
      </w:tr>
      <w:tr>
        <w:tc>
          <w:tcPr/>
          <w:p>
            <w:pPr>
              <w:pStyle w:val="Compact"/>
              <w:jc w:val="left"/>
            </w:pPr>
            <w:r>
              <w:rPr>
                <w:bCs/>
                <w:b/>
              </w:rPr>
              <w:t xml:space="preserve">Geographic Scope</w:t>
            </w:r>
          </w:p>
        </w:tc>
        <w:tc>
          <w:tcPr/>
          <w:p>
            <w:pPr>
              <w:pStyle w:val="Compact"/>
              <w:jc w:val="left"/>
            </w:pPr>
            <w:r>
              <w:t xml:space="preserve">Production: China</w:t>
            </w:r>
            <w:r>
              <w:br/>
            </w:r>
            <w:r>
              <w:t xml:space="preserve">Supply Chain: Global</w:t>
            </w:r>
          </w:p>
        </w:tc>
        <w:tc>
          <w:tcPr/>
          <w:p>
            <w:pPr>
              <w:pStyle w:val="Compact"/>
              <w:jc w:val="left"/>
            </w:pPr>
            <w:r>
              <w:t xml:space="preserve">Reflects typical industrial supply chains where Natural Rubber originates in Southeast Asia (Thailand/Vietnam), petrochemical monomers in East Asia, and compounding occurs in China.</w:t>
            </w:r>
          </w:p>
        </w:tc>
      </w:tr>
      <w:tr>
        <w:tc>
          <w:tcPr/>
          <w:p>
            <w:pPr>
              <w:pStyle w:val="Compact"/>
              <w:jc w:val="left"/>
            </w:pPr>
            <w:r>
              <w:rPr>
                <w:bCs/>
                <w:b/>
              </w:rPr>
              <w:t xml:space="preserve">Allocation Protocol</w:t>
            </w:r>
          </w:p>
        </w:tc>
        <w:tc>
          <w:tcPr/>
          <w:p>
            <w:pPr>
              <w:pStyle w:val="Compact"/>
              <w:jc w:val="left"/>
            </w:pPr>
            <w:r>
              <w:t xml:space="preserve">Mass and Economic Allocation</w:t>
            </w:r>
          </w:p>
        </w:tc>
        <w:tc>
          <w:tcPr/>
          <w:p>
            <w:pPr>
              <w:pStyle w:val="Compact"/>
              <w:jc w:val="left"/>
            </w:pPr>
            <w:r>
              <w:t xml:space="preserve">Co-products from natural rubber latex processing (skim rubber) and synthetic monomer distillation allocated based on economic value where mass separation is impractical, per GHG Protocol Chapter 8.</w:t>
            </w:r>
          </w:p>
        </w:tc>
      </w:tr>
      <w:tr>
        <w:tc>
          <w:tcPr/>
          <w:p>
            <w:pPr>
              <w:pStyle w:val="Compact"/>
              <w:jc w:val="left"/>
            </w:pPr>
            <w:r>
              <w:rPr>
                <w:bCs/>
                <w:b/>
              </w:rPr>
              <w:t xml:space="preserve">2026 LSR Integration</w:t>
            </w:r>
          </w:p>
        </w:tc>
        <w:tc>
          <w:tcPr/>
          <w:p>
            <w:pPr>
              <w:pStyle w:val="Compact"/>
              <w:jc w:val="left"/>
            </w:pPr>
            <w:r>
              <w:t xml:space="preserve">Land Sector &amp; Removals Standard</w:t>
            </w:r>
          </w:p>
        </w:tc>
        <w:tc>
          <w:tcPr/>
          <w:p>
            <w:pPr>
              <w:pStyle w:val="Compact"/>
              <w:jc w:val="left"/>
            </w:pPr>
            <w:r>
              <w:t xml:space="preserve">Mandates separate accounting for: (1) direct Land-Use Change (dLUC), (2) land management emissions (N</w:t>
            </w:r>
            <w:r>
              <w:rPr>
                <w:vertAlign w:val="subscript"/>
              </w:rPr>
              <w:t xml:space="preserve">2</w:t>
            </w:r>
            <w:r>
              <w:t xml:space="preserve">O, fertilizer), and (3) biogenic carbon removals and biogenic emissions.</w:t>
            </w:r>
          </w:p>
        </w:tc>
      </w:tr>
      <w:tr>
        <w:tc>
          <w:tcPr/>
          <w:p>
            <w:pPr>
              <w:pStyle w:val="Compact"/>
              <w:jc w:val="left"/>
            </w:pPr>
            <w:r>
              <w:rPr>
                <w:bCs/>
                <w:b/>
              </w:rPr>
              <w:t xml:space="preserve">Cut-off Criteria</w:t>
            </w:r>
          </w:p>
        </w:tc>
        <w:tc>
          <w:tcPr/>
          <w:p>
            <w:pPr>
              <w:pStyle w:val="Compact"/>
              <w:jc w:val="left"/>
            </w:pPr>
            <w:r>
              <w:t xml:space="preserve">&lt; 1% mass and energy; &gt; 95% total Scope 3 coverage</w:t>
            </w:r>
          </w:p>
        </w:tc>
        <w:tc>
          <w:tcPr/>
          <w:p>
            <w:pPr>
              <w:pStyle w:val="Compact"/>
              <w:jc w:val="left"/>
            </w:pPr>
            <w:r>
              <w:t xml:space="preserve">Capital goods infrastructure and corporate commute excluded. All active compound additives (≥ 0.5% mass) included.</w:t>
            </w:r>
          </w:p>
        </w:tc>
      </w:tr>
    </w:tbl>
    <w:p>
      <w:r>
        <w:pict>
          <v:rect style="width:0;height:1.5pt" o:hralign="center" o:hrstd="t" o:hr="t"/>
        </w:pict>
      </w:r>
    </w:p>
    <w:bookmarkEnd w:id="23"/>
    <w:bookmarkStart w:id="24" w:name="step-2-lifecycle-mapping-lci-stages"/>
    <w:p>
      <w:pPr>
        <w:pStyle w:val="Heading1"/>
      </w:pPr>
      <w:r>
        <w:t xml:space="preserve">Step 2: Lifecycle Mapping (LCI Stages)</w:t>
      </w:r>
    </w:p>
    <w:p>
      <w:pPr>
        <w:pStyle w:val="FirstParagraph"/>
      </w:pPr>
      <w:r>
        <w:t xml:space="preserve">The life cycle inventory is categorized into four sequential phases within the cradle-to-gate continuum:</w:t>
      </w:r>
    </w:p>
    <w:p>
      <w:pPr>
        <w:pStyle w:val="BodyText"/>
      </w:pPr>
      <w:r>
        <w:rPr>
          <w:bCs/>
          <w:b/>
        </w:rPr>
        <w:t xml:space="preserve">Lifecycle Stage Mapping:</w:t>
      </w:r>
    </w:p>
    <w:p>
      <w:pPr>
        <w:numPr>
          <w:ilvl w:val="0"/>
          <w:numId w:val="1002"/>
        </w:numPr>
        <w:pStyle w:val="Compact"/>
      </w:pPr>
      <w:r>
        <w:rPr>
          <w:bCs/>
          <w:b/>
        </w:rPr>
        <w:t xml:space="preserve">Upstream Raw Material Production (Tier 2/3):</w:t>
      </w:r>
      <w:r>
        <w:t xml:space="preserve"> </w:t>
      </w:r>
      <w:r>
        <w:t xml:space="preserve">Cultivation and tapping of</w:t>
      </w:r>
      <w:r>
        <w:t xml:space="preserve"> </w:t>
      </w:r>
      <w:r>
        <w:rPr>
          <w:iCs/>
          <w:i/>
        </w:rPr>
        <w:t xml:space="preserve">Hevea brasiliensis</w:t>
      </w:r>
      <w:r>
        <w:t xml:space="preserve"> </w:t>
      </w:r>
      <w:r>
        <w:t xml:space="preserve">latex; acid coagulation; crumb drying into Technically Specified Rubber (TSR20); petroleum cracking to butadiene and styrene; emulsion polymerization to SBR-1502; incomplete combustion of heavy aromatic oils to form Carbon Black (N330); refining of vulcanizing accelerators and process oils.</w:t>
      </w:r>
    </w:p>
    <w:p>
      <w:pPr>
        <w:numPr>
          <w:ilvl w:val="0"/>
          <w:numId w:val="1002"/>
        </w:numPr>
        <w:pStyle w:val="Compact"/>
      </w:pPr>
      <w:r>
        <w:rPr>
          <w:bCs/>
          <w:b/>
        </w:rPr>
        <w:t xml:space="preserve">Inbound Freight &amp; Logistics (Tier 1/2):</w:t>
      </w:r>
      <w:r>
        <w:t xml:space="preserve"> </w:t>
      </w:r>
      <w:r>
        <w:t xml:space="preserve">Transoceanic bulk maritime container shipment of natural rubber from Southeast Asia to Shanghai/Ningbo ports; heavy-duty diesel truck freight within mainland China to the processing plant.</w:t>
      </w:r>
    </w:p>
    <w:p>
      <w:pPr>
        <w:numPr>
          <w:ilvl w:val="0"/>
          <w:numId w:val="1002"/>
        </w:numPr>
        <w:pStyle w:val="Compact"/>
      </w:pPr>
      <w:r>
        <w:rPr>
          <w:bCs/>
          <w:b/>
        </w:rPr>
        <w:t xml:space="preserve">Gate Compounding &amp; Processing (Tier 1 Plant):</w:t>
      </w:r>
      <w:r>
        <w:t xml:space="preserve"> </w:t>
      </w:r>
      <w:r>
        <w:t xml:space="preserve">Automated weighing, intensive internal Banbury shear mixing, open two-roll milling, cooling, calendering, and pre-cure sheet forming under controlled steam pressure.</w:t>
      </w:r>
    </w:p>
    <w:p>
      <w:pPr>
        <w:numPr>
          <w:ilvl w:val="0"/>
          <w:numId w:val="1002"/>
        </w:numPr>
        <w:pStyle w:val="Compact"/>
      </w:pPr>
      <w:r>
        <w:rPr>
          <w:bCs/>
          <w:b/>
        </w:rPr>
        <w:t xml:space="preserve">Facility Utilities &amp; Gate Packaging:</w:t>
      </w:r>
      <w:r>
        <w:t xml:space="preserve"> </w:t>
      </w:r>
      <w:r>
        <w:t xml:space="preserve">Indirect grid electricity for motors, blowers, and chillers; natural gas combustion in thermal fluid/steam boilers; low-density polyethylene (LDPE) release film and wooden pallet containment.</w:t>
      </w:r>
    </w:p>
    <w:p>
      <w:r>
        <w:pict>
          <v:rect style="width:0;height:1.5pt" o:hralign="center" o:hrstd="t" o:hr="t"/>
        </w:pict>
      </w:r>
    </w:p>
    <w:bookmarkEnd w:id="24"/>
    <w:bookmarkStart w:id="25" w:name="step-3-bill-of-materials-data-inventory"/>
    <w:p>
      <w:pPr>
        <w:pStyle w:val="Heading1"/>
      </w:pPr>
      <w:r>
        <w:t xml:space="preserve">Step 3: Bill of Materials &amp; Data Inventory</w:t>
      </w:r>
    </w:p>
    <w:p>
      <w:pPr>
        <w:pStyle w:val="FirstParagraph"/>
      </w:pPr>
      <w:r>
        <w:t xml:space="preserve">Data points represent 1.0 kg of finished compounded rubber formulation. Primary data was gathered from high-throughput mixing plants in Eastern China; secondary emissions benchmarks were extracted from Ecoinvent v3.10 and national 2025/2026 emission inventory factors.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 Energy Input</w:t>
            </w:r>
          </w:p>
        </w:tc>
        <w:tc>
          <w:tcPr/>
          <w:p>
            <w:pPr>
              <w:pStyle w:val="Compact"/>
              <w:jc w:val="left"/>
            </w:pPr>
            <w:r>
              <w:t xml:space="preserve">Classification</w:t>
            </w:r>
          </w:p>
        </w:tc>
        <w:tc>
          <w:tcPr/>
          <w:p>
            <w:pPr>
              <w:pStyle w:val="Compact"/>
              <w:jc w:val="left"/>
            </w:pPr>
            <w:r>
              <w:t xml:space="preserve">Quantity per kg</w:t>
            </w:r>
          </w:p>
        </w:tc>
        <w:tc>
          <w:tcPr/>
          <w:p>
            <w:pPr>
              <w:pStyle w:val="Compact"/>
              <w:jc w:val="left"/>
            </w:pPr>
            <w:r>
              <w:t xml:space="preserve">Data Source</w:t>
            </w:r>
          </w:p>
        </w:tc>
        <w:tc>
          <w:tcPr/>
          <w:p>
            <w:pPr>
              <w:pStyle w:val="Compact"/>
              <w:jc w:val="left"/>
            </w:pPr>
            <w:r>
              <w:t xml:space="preserve">Geography &amp; Technology</w:t>
            </w:r>
          </w:p>
        </w:tc>
      </w:tr>
      <w:tr>
        <w:tc>
          <w:tcPr/>
          <w:p>
            <w:pPr>
              <w:pStyle w:val="Compact"/>
              <w:jc w:val="left"/>
            </w:pPr>
            <w:r>
              <w:rPr>
                <w:bCs/>
                <w:b/>
              </w:rPr>
              <w:t xml:space="preserve">Natural Rubber (TSR20)</w:t>
            </w:r>
          </w:p>
        </w:tc>
        <w:tc>
          <w:tcPr/>
          <w:p>
            <w:pPr>
              <w:pStyle w:val="Compact"/>
              <w:jc w:val="left"/>
            </w:pPr>
            <w:r>
              <w:t xml:space="preserve">Bio-based Elastomer</w:t>
            </w:r>
          </w:p>
        </w:tc>
        <w:tc>
          <w:tcPr/>
          <w:p>
            <w:pPr>
              <w:pStyle w:val="Compact"/>
              <w:jc w:val="left"/>
            </w:pPr>
            <w:r>
              <w:t xml:space="preserve">0.350 kg</w:t>
            </w:r>
          </w:p>
        </w:tc>
        <w:tc>
          <w:tcPr/>
          <w:p>
            <w:pPr>
              <w:pStyle w:val="Compact"/>
              <w:jc w:val="left"/>
            </w:pPr>
            <w:r>
              <w:t xml:space="preserve">Primary / Secondary</w:t>
            </w:r>
          </w:p>
        </w:tc>
        <w:tc>
          <w:tcPr/>
          <w:p>
            <w:pPr>
              <w:pStyle w:val="Compact"/>
              <w:jc w:val="left"/>
            </w:pPr>
            <w:r>
              <w:t xml:space="preserve">Thailand/Vietnam; plantation coagulum, diesel crumb dryer</w:t>
            </w:r>
          </w:p>
        </w:tc>
      </w:tr>
      <w:tr>
        <w:tc>
          <w:tcPr/>
          <w:p>
            <w:pPr>
              <w:pStyle w:val="Compact"/>
              <w:jc w:val="left"/>
            </w:pPr>
            <w:r>
              <w:rPr>
                <w:bCs/>
                <w:b/>
              </w:rPr>
              <w:t xml:space="preserve">Styrene-Butadiene Rubber (SBR)</w:t>
            </w:r>
          </w:p>
        </w:tc>
        <w:tc>
          <w:tcPr/>
          <w:p>
            <w:pPr>
              <w:pStyle w:val="Compact"/>
              <w:jc w:val="left"/>
            </w:pPr>
            <w:r>
              <w:t xml:space="preserve">Synthetic Polymer</w:t>
            </w:r>
          </w:p>
        </w:tc>
        <w:tc>
          <w:tcPr/>
          <w:p>
            <w:pPr>
              <w:pStyle w:val="Compact"/>
              <w:jc w:val="left"/>
            </w:pPr>
            <w:r>
              <w:t xml:space="preserve">0.250 kg</w:t>
            </w:r>
          </w:p>
        </w:tc>
        <w:tc>
          <w:tcPr/>
          <w:p>
            <w:pPr>
              <w:pStyle w:val="Compact"/>
              <w:jc w:val="left"/>
            </w:pPr>
            <w:r>
              <w:t xml:space="preserve">Secondary (Ecoinvent)</w:t>
            </w:r>
          </w:p>
        </w:tc>
        <w:tc>
          <w:tcPr/>
          <w:p>
            <w:pPr>
              <w:pStyle w:val="Compact"/>
              <w:jc w:val="left"/>
            </w:pPr>
            <w:r>
              <w:t xml:space="preserve">China domestic; cold emulsion polymerization (E-SBR)</w:t>
            </w:r>
          </w:p>
        </w:tc>
      </w:tr>
      <w:tr>
        <w:tc>
          <w:tcPr/>
          <w:p>
            <w:pPr>
              <w:pStyle w:val="Compact"/>
              <w:jc w:val="left"/>
            </w:pPr>
            <w:r>
              <w:rPr>
                <w:bCs/>
                <w:b/>
              </w:rPr>
              <w:t xml:space="preserve">Carbon Black (N330)</w:t>
            </w:r>
          </w:p>
        </w:tc>
        <w:tc>
          <w:tcPr/>
          <w:p>
            <w:pPr>
              <w:pStyle w:val="Compact"/>
              <w:jc w:val="left"/>
            </w:pPr>
            <w:r>
              <w:t xml:space="preserve">Reinforcing Filler</w:t>
            </w:r>
          </w:p>
        </w:tc>
        <w:tc>
          <w:tcPr/>
          <w:p>
            <w:pPr>
              <w:pStyle w:val="Compact"/>
              <w:jc w:val="left"/>
            </w:pPr>
            <w:r>
              <w:t xml:space="preserve">0.250 kg</w:t>
            </w:r>
          </w:p>
        </w:tc>
        <w:tc>
          <w:tcPr/>
          <w:p>
            <w:pPr>
              <w:pStyle w:val="Compact"/>
              <w:jc w:val="left"/>
            </w:pPr>
            <w:r>
              <w:t xml:space="preserve">Secondary (Ecoinvent)</w:t>
            </w:r>
          </w:p>
        </w:tc>
        <w:tc>
          <w:tcPr/>
          <w:p>
            <w:pPr>
              <w:pStyle w:val="Compact"/>
              <w:jc w:val="left"/>
            </w:pPr>
            <w:r>
              <w:t xml:space="preserve">Furnace black process; heavy petroleum feedstocks</w:t>
            </w:r>
          </w:p>
        </w:tc>
      </w:tr>
      <w:tr>
        <w:tc>
          <w:tcPr/>
          <w:p>
            <w:pPr>
              <w:pStyle w:val="Compact"/>
              <w:jc w:val="left"/>
            </w:pPr>
            <w:r>
              <w:rPr>
                <w:bCs/>
                <w:b/>
              </w:rPr>
              <w:t xml:space="preserve">Paraffinic / Aromatic Extender Oil</w:t>
            </w:r>
          </w:p>
        </w:tc>
        <w:tc>
          <w:tcPr/>
          <w:p>
            <w:pPr>
              <w:pStyle w:val="Compact"/>
              <w:jc w:val="left"/>
            </w:pPr>
            <w:r>
              <w:t xml:space="preserve">Plasticizer / Softener</w:t>
            </w:r>
          </w:p>
        </w:tc>
        <w:tc>
          <w:tcPr/>
          <w:p>
            <w:pPr>
              <w:pStyle w:val="Compact"/>
              <w:jc w:val="left"/>
            </w:pPr>
            <w:r>
              <w:t xml:space="preserve">0.080 kg</w:t>
            </w:r>
          </w:p>
        </w:tc>
        <w:tc>
          <w:tcPr/>
          <w:p>
            <w:pPr>
              <w:pStyle w:val="Compact"/>
              <w:jc w:val="left"/>
            </w:pPr>
            <w:r>
              <w:t xml:space="preserve">Secondary (DEFRA/Eco)</w:t>
            </w:r>
          </w:p>
        </w:tc>
        <w:tc>
          <w:tcPr/>
          <w:p>
            <w:pPr>
              <w:pStyle w:val="Compact"/>
              <w:jc w:val="left"/>
            </w:pPr>
            <w:r>
              <w:t xml:space="preserve">Refinery solvent extraction process</w:t>
            </w:r>
          </w:p>
        </w:tc>
      </w:tr>
      <w:tr>
        <w:tc>
          <w:tcPr/>
          <w:p>
            <w:pPr>
              <w:pStyle w:val="Compact"/>
              <w:jc w:val="left"/>
            </w:pPr>
            <w:r>
              <w:rPr>
                <w:bCs/>
                <w:b/>
              </w:rPr>
              <w:t xml:space="preserve">Zinc Oxide (ZnO)</w:t>
            </w:r>
          </w:p>
        </w:tc>
        <w:tc>
          <w:tcPr/>
          <w:p>
            <w:pPr>
              <w:pStyle w:val="Compact"/>
              <w:jc w:val="left"/>
            </w:pPr>
            <w:r>
              <w:t xml:space="preserve">Inorganic Activator</w:t>
            </w:r>
          </w:p>
        </w:tc>
        <w:tc>
          <w:tcPr/>
          <w:p>
            <w:pPr>
              <w:pStyle w:val="Compact"/>
              <w:jc w:val="left"/>
            </w:pPr>
            <w:r>
              <w:t xml:space="preserve">0.030 kg</w:t>
            </w:r>
          </w:p>
        </w:tc>
        <w:tc>
          <w:tcPr/>
          <w:p>
            <w:pPr>
              <w:pStyle w:val="Compact"/>
              <w:jc w:val="left"/>
            </w:pPr>
            <w:r>
              <w:t xml:space="preserve">Secondary (Ecoinvent)</w:t>
            </w:r>
          </w:p>
        </w:tc>
        <w:tc>
          <w:tcPr/>
          <w:p>
            <w:pPr>
              <w:pStyle w:val="Compact"/>
              <w:jc w:val="left"/>
            </w:pPr>
            <w:r>
              <w:t xml:space="preserve">French (indirect) pyrometallurgical process</w:t>
            </w:r>
          </w:p>
        </w:tc>
      </w:tr>
      <w:tr>
        <w:tc>
          <w:tcPr/>
          <w:p>
            <w:pPr>
              <w:pStyle w:val="Compact"/>
              <w:jc w:val="left"/>
            </w:pPr>
            <w:r>
              <w:rPr>
                <w:bCs/>
                <w:b/>
              </w:rPr>
              <w:t xml:space="preserve">Stearic Acid</w:t>
            </w:r>
          </w:p>
        </w:tc>
        <w:tc>
          <w:tcPr/>
          <w:p>
            <w:pPr>
              <w:pStyle w:val="Compact"/>
              <w:jc w:val="left"/>
            </w:pPr>
            <w:r>
              <w:t xml:space="preserve">Organic Activator</w:t>
            </w:r>
          </w:p>
        </w:tc>
        <w:tc>
          <w:tcPr/>
          <w:p>
            <w:pPr>
              <w:pStyle w:val="Compact"/>
              <w:jc w:val="left"/>
            </w:pPr>
            <w:r>
              <w:t xml:space="preserve">0.015 kg</w:t>
            </w:r>
          </w:p>
        </w:tc>
        <w:tc>
          <w:tcPr/>
          <w:p>
            <w:pPr>
              <w:pStyle w:val="Compact"/>
              <w:jc w:val="left"/>
            </w:pPr>
            <w:r>
              <w:t xml:space="preserve">Secondary (Ecoinvent)</w:t>
            </w:r>
          </w:p>
        </w:tc>
        <w:tc>
          <w:tcPr/>
          <w:p>
            <w:pPr>
              <w:pStyle w:val="Compact"/>
              <w:jc w:val="left"/>
            </w:pPr>
            <w:r>
              <w:t xml:space="preserve">Splitting and hydrogenation of palm/tallow fatty acids</w:t>
            </w:r>
          </w:p>
        </w:tc>
      </w:tr>
      <w:tr>
        <w:tc>
          <w:tcPr/>
          <w:p>
            <w:pPr>
              <w:pStyle w:val="Compact"/>
              <w:jc w:val="left"/>
            </w:pPr>
            <w:r>
              <w:rPr>
                <w:bCs/>
                <w:b/>
              </w:rPr>
              <w:t xml:space="preserve">Sulfur &amp; Accelerators (TBBS)</w:t>
            </w:r>
          </w:p>
        </w:tc>
        <w:tc>
          <w:tcPr/>
          <w:p>
            <w:pPr>
              <w:pStyle w:val="Compact"/>
              <w:jc w:val="left"/>
            </w:pPr>
            <w:r>
              <w:t xml:space="preserve">Vulcanization Pack</w:t>
            </w:r>
          </w:p>
        </w:tc>
        <w:tc>
          <w:tcPr/>
          <w:p>
            <w:pPr>
              <w:pStyle w:val="Compact"/>
              <w:jc w:val="left"/>
            </w:pPr>
            <w:r>
              <w:t xml:space="preserve">0.025 kg</w:t>
            </w:r>
          </w:p>
        </w:tc>
        <w:tc>
          <w:tcPr/>
          <w:p>
            <w:pPr>
              <w:pStyle w:val="Compact"/>
              <w:jc w:val="left"/>
            </w:pPr>
            <w:r>
              <w:t xml:space="preserve">Secondary (Ecoinvent)</w:t>
            </w:r>
          </w:p>
        </w:tc>
        <w:tc>
          <w:tcPr/>
          <w:p>
            <w:pPr>
              <w:pStyle w:val="Compact"/>
              <w:jc w:val="left"/>
            </w:pPr>
            <w:r>
              <w:t xml:space="preserve">Elemental sulfur refining and amine synthesis</w:t>
            </w:r>
          </w:p>
        </w:tc>
      </w:tr>
      <w:tr>
        <w:tc>
          <w:tcPr/>
          <w:p>
            <w:pPr>
              <w:pStyle w:val="Compact"/>
              <w:jc w:val="left"/>
            </w:pPr>
            <w:r>
              <w:rPr>
                <w:bCs/>
                <w:b/>
              </w:rPr>
              <w:t xml:space="preserve">Electricity (Compounding Plant)</w:t>
            </w:r>
          </w:p>
        </w:tc>
        <w:tc>
          <w:tcPr/>
          <w:p>
            <w:pPr>
              <w:pStyle w:val="Compact"/>
              <w:jc w:val="left"/>
            </w:pPr>
            <w:r>
              <w:t xml:space="preserve">Direct Facility Energy</w:t>
            </w:r>
          </w:p>
        </w:tc>
        <w:tc>
          <w:tcPr/>
          <w:p>
            <w:pPr>
              <w:pStyle w:val="Compact"/>
              <w:jc w:val="left"/>
            </w:pPr>
            <w:r>
              <w:t xml:space="preserve">0.820 kWh</w:t>
            </w:r>
          </w:p>
        </w:tc>
        <w:tc>
          <w:tcPr/>
          <w:p>
            <w:pPr>
              <w:pStyle w:val="Compact"/>
              <w:jc w:val="left"/>
            </w:pPr>
            <w:r>
              <w:t xml:space="preserve">Primary Metering</w:t>
            </w:r>
          </w:p>
        </w:tc>
        <w:tc>
          <w:tcPr/>
          <w:p>
            <w:pPr>
              <w:pStyle w:val="Compact"/>
              <w:jc w:val="left"/>
            </w:pPr>
            <w:r>
              <w:t xml:space="preserve">State Grid East China Regional Grid (2025/2026 factor)</w:t>
            </w:r>
          </w:p>
        </w:tc>
      </w:tr>
      <w:tr>
        <w:tc>
          <w:tcPr/>
          <w:p>
            <w:pPr>
              <w:pStyle w:val="Compact"/>
              <w:jc w:val="left"/>
            </w:pPr>
            <w:r>
              <w:rPr>
                <w:bCs/>
                <w:b/>
              </w:rPr>
              <w:t xml:space="preserve">Steam (Natural Gas Boiler)</w:t>
            </w:r>
          </w:p>
        </w:tc>
        <w:tc>
          <w:tcPr/>
          <w:p>
            <w:pPr>
              <w:pStyle w:val="Compact"/>
              <w:jc w:val="left"/>
            </w:pPr>
            <w:r>
              <w:t xml:space="preserve">Direct Thermal Energy</w:t>
            </w:r>
          </w:p>
        </w:tc>
        <w:tc>
          <w:tcPr/>
          <w:p>
            <w:pPr>
              <w:pStyle w:val="Compact"/>
              <w:jc w:val="left"/>
            </w:pPr>
            <w:r>
              <w:t xml:space="preserve">1.150 MJ</w:t>
            </w:r>
          </w:p>
        </w:tc>
        <w:tc>
          <w:tcPr/>
          <w:p>
            <w:pPr>
              <w:pStyle w:val="Compact"/>
              <w:jc w:val="left"/>
            </w:pPr>
            <w:r>
              <w:t xml:space="preserve">Primary Metering</w:t>
            </w:r>
          </w:p>
        </w:tc>
        <w:tc>
          <w:tcPr/>
          <w:p>
            <w:pPr>
              <w:pStyle w:val="Compact"/>
              <w:jc w:val="left"/>
            </w:pPr>
            <w:r>
              <w:t xml:space="preserve">Onsite industrial natural gas boiler (88% efficiency)</w:t>
            </w:r>
          </w:p>
        </w:tc>
      </w:tr>
      <w:tr>
        <w:tc>
          <w:tcPr/>
          <w:p>
            <w:pPr>
              <w:pStyle w:val="Compact"/>
              <w:jc w:val="left"/>
            </w:pPr>
            <w:r>
              <w:rPr>
                <w:bCs/>
                <w:b/>
              </w:rPr>
              <w:t xml:space="preserve">Inbound Transport - Maritime</w:t>
            </w:r>
          </w:p>
        </w:tc>
        <w:tc>
          <w:tcPr/>
          <w:p>
            <w:pPr>
              <w:pStyle w:val="Compact"/>
              <w:jc w:val="left"/>
            </w:pPr>
            <w:r>
              <w:t xml:space="preserve">Logistics (Upstream)</w:t>
            </w:r>
          </w:p>
        </w:tc>
        <w:tc>
          <w:tcPr/>
          <w:p>
            <w:pPr>
              <w:pStyle w:val="Compact"/>
              <w:jc w:val="left"/>
            </w:pPr>
            <w:r>
              <w:t xml:space="preserve">0.875 t·km</w:t>
            </w:r>
          </w:p>
        </w:tc>
        <w:tc>
          <w:tcPr/>
          <w:p>
            <w:pPr>
              <w:pStyle w:val="Compact"/>
              <w:jc w:val="left"/>
            </w:pPr>
            <w:r>
              <w:t xml:space="preserve">Primary Shipping Docs</w:t>
            </w:r>
          </w:p>
        </w:tc>
        <w:tc>
          <w:tcPr/>
          <w:p>
            <w:pPr>
              <w:pStyle w:val="Compact"/>
              <w:jc w:val="left"/>
            </w:pPr>
            <w:r>
              <w:t xml:space="preserve">Ocean container carrier (&gt;8,000 TEU, heavy fuel oil)</w:t>
            </w:r>
          </w:p>
        </w:tc>
      </w:tr>
      <w:tr>
        <w:tc>
          <w:tcPr/>
          <w:p>
            <w:pPr>
              <w:pStyle w:val="Compact"/>
              <w:jc w:val="left"/>
            </w:pPr>
            <w:r>
              <w:rPr>
                <w:bCs/>
                <w:b/>
              </w:rPr>
              <w:t xml:space="preserve">Inbound Transport - Road Freight</w:t>
            </w:r>
          </w:p>
        </w:tc>
        <w:tc>
          <w:tcPr/>
          <w:p>
            <w:pPr>
              <w:pStyle w:val="Compact"/>
              <w:jc w:val="left"/>
            </w:pPr>
            <w:r>
              <w:t xml:space="preserve">Logistics (Upstream)</w:t>
            </w:r>
          </w:p>
        </w:tc>
        <w:tc>
          <w:tcPr/>
          <w:p>
            <w:pPr>
              <w:pStyle w:val="Compact"/>
              <w:jc w:val="left"/>
            </w:pPr>
            <w:r>
              <w:t xml:space="preserve">0.310 t·km</w:t>
            </w:r>
          </w:p>
        </w:tc>
        <w:tc>
          <w:tcPr/>
          <w:p>
            <w:pPr>
              <w:pStyle w:val="Compact"/>
              <w:jc w:val="left"/>
            </w:pPr>
            <w:r>
              <w:t xml:space="preserve">Primary Dispatch Logs</w:t>
            </w:r>
          </w:p>
        </w:tc>
        <w:tc>
          <w:tcPr/>
          <w:p>
            <w:pPr>
              <w:pStyle w:val="Compact"/>
              <w:jc w:val="left"/>
            </w:pPr>
            <w:r>
              <w:t xml:space="preserve">Diesel articulated truck, Euro V standard, mainland China</w:t>
            </w:r>
          </w:p>
        </w:tc>
      </w:tr>
      <w:tr>
        <w:tc>
          <w:tcPr/>
          <w:p>
            <w:pPr>
              <w:pStyle w:val="Compact"/>
              <w:jc w:val="left"/>
            </w:pPr>
            <w:r>
              <w:rPr>
                <w:bCs/>
                <w:b/>
              </w:rPr>
              <w:t xml:space="preserve">Packaging (LDPE &amp; Pallet)</w:t>
            </w:r>
          </w:p>
        </w:tc>
        <w:tc>
          <w:tcPr/>
          <w:p>
            <w:pPr>
              <w:pStyle w:val="Compact"/>
              <w:jc w:val="left"/>
            </w:pPr>
            <w:r>
              <w:t xml:space="preserve">Gate Containment</w:t>
            </w:r>
          </w:p>
        </w:tc>
        <w:tc>
          <w:tcPr/>
          <w:p>
            <w:pPr>
              <w:pStyle w:val="Compact"/>
              <w:jc w:val="left"/>
            </w:pPr>
            <w:r>
              <w:t xml:space="preserve">0.012 kg</w:t>
            </w:r>
          </w:p>
        </w:tc>
        <w:tc>
          <w:tcPr/>
          <w:p>
            <w:pPr>
              <w:pStyle w:val="Compact"/>
              <w:jc w:val="left"/>
            </w:pPr>
            <w:r>
              <w:t xml:space="preserve">Primary Audit</w:t>
            </w:r>
          </w:p>
        </w:tc>
        <w:tc>
          <w:tcPr/>
          <w:p>
            <w:pPr>
              <w:pStyle w:val="Compact"/>
              <w:jc w:val="left"/>
            </w:pPr>
            <w:r>
              <w:t xml:space="preserve">Virgin/recycled LDPE sheet liner and wood pallet fractional</w:t>
            </w:r>
          </w:p>
        </w:tc>
      </w:tr>
    </w:tbl>
    <w:p>
      <w:r>
        <w:pict>
          <v:rect style="width:0;height:1.5pt" o:hralign="center" o:hrstd="t" o:hr="t"/>
        </w:pict>
      </w:r>
    </w:p>
    <w:bookmarkEnd w:id="25"/>
    <w:bookmarkStart w:id="27" w:name="X1bf5a422c187cc4ed033f9918cb827d1f1764b2"/>
    <w:p>
      <w:pPr>
        <w:pStyle w:val="Heading1"/>
      </w:pPr>
      <w:r>
        <w:t xml:space="preserve">Step 4: Emissions Calculations &amp; GHG Protocol Breakdown</w:t>
      </w:r>
    </w:p>
    <w:p>
      <w:pPr>
        <w:pStyle w:val="FirstParagraph"/>
      </w:pPr>
      <w:r>
        <w:t xml:space="preserve">In accordance with the</w:t>
      </w:r>
      <w:r>
        <w:t xml:space="preserve"> </w:t>
      </w:r>
      <w:r>
        <w:rPr>
          <w:bCs/>
          <w:b/>
        </w:rPr>
        <w:t xml:space="preserve">GHG Protocol Standard</w:t>
      </w:r>
      <w:r>
        <w:t xml:space="preserve">, emissions are allocated to Scope 1, Scope 2, and Scope 3. Under the</w:t>
      </w:r>
      <w:r>
        <w:t xml:space="preserve"> </w:t>
      </w:r>
      <w:r>
        <w:rPr>
          <w:bCs/>
          <w:b/>
        </w:rPr>
        <w:t xml:space="preserve">2026 LSR Standard</w:t>
      </w:r>
      <w:r>
        <w:t xml:space="preserve">, direct land-use change and biogenic fluxes are explicitly reported in the final balance.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GHG Category</w:t>
            </w:r>
          </w:p>
        </w:tc>
        <w:tc>
          <w:tcPr/>
          <w:p>
            <w:pPr>
              <w:pStyle w:val="Compact"/>
              <w:jc w:val="left"/>
            </w:pPr>
            <w:r>
              <w:t xml:space="preserve">Inventory Line Item</w:t>
            </w:r>
          </w:p>
        </w:tc>
        <w:tc>
          <w:tcPr/>
          <w:p>
            <w:pPr>
              <w:pStyle w:val="Compact"/>
              <w:jc w:val="left"/>
            </w:pPr>
            <w:r>
              <w:t xml:space="preserve">Activity Amount</w:t>
            </w:r>
          </w:p>
        </w:tc>
        <w:tc>
          <w:tcPr/>
          <w:p>
            <w:pPr>
              <w:pStyle w:val="Compact"/>
              <w:jc w:val="left"/>
            </w:pPr>
            <w:r>
              <w:t xml:space="preserve">Emission Factor (EF)</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Share (%)</w:t>
            </w:r>
          </w:p>
        </w:tc>
      </w:tr>
      <w:tr>
        <w:tc>
          <w:tcPr/>
          <w:p>
            <w:pPr>
              <w:pStyle w:val="Compact"/>
              <w:jc w:val="left"/>
            </w:pPr>
            <w:r>
              <w:t xml:space="preserve">Scope 1</w:t>
            </w:r>
          </w:p>
        </w:tc>
        <w:tc>
          <w:tcPr/>
          <w:p>
            <w:pPr>
              <w:pStyle w:val="Compact"/>
              <w:jc w:val="left"/>
            </w:pPr>
            <w:r>
              <w:t xml:space="preserve">Onsite Natural Gas Steam Generation</w:t>
            </w:r>
          </w:p>
        </w:tc>
        <w:tc>
          <w:tcPr/>
          <w:p>
            <w:pPr>
              <w:pStyle w:val="Compact"/>
              <w:jc w:val="left"/>
            </w:pPr>
            <w:r>
              <w:t xml:space="preserve">1.150 MJ (th)</w:t>
            </w:r>
          </w:p>
        </w:tc>
        <w:tc>
          <w:tcPr/>
          <w:p>
            <w:pPr>
              <w:pStyle w:val="Compact"/>
              <w:jc w:val="left"/>
            </w:pPr>
            <w:r>
              <w:t xml:space="preserve">0.0635 kg CO</w:t>
            </w:r>
            <w:r>
              <w:rPr>
                <w:vertAlign w:val="subscript"/>
              </w:rPr>
              <w:t xml:space="preserve">2</w:t>
            </w:r>
            <w:r>
              <w:t xml:space="preserve">e/MJ</w:t>
            </w:r>
          </w:p>
        </w:tc>
        <w:tc>
          <w:tcPr/>
          <w:p>
            <w:pPr>
              <w:pStyle w:val="Compact"/>
              <w:jc w:val="left"/>
            </w:pPr>
            <w:r>
              <w:t xml:space="preserve">0.0730</w:t>
            </w:r>
          </w:p>
        </w:tc>
        <w:tc>
          <w:tcPr/>
          <w:p>
            <w:pPr>
              <w:pStyle w:val="Compact"/>
              <w:jc w:val="left"/>
            </w:pPr>
            <w:r>
              <w:t xml:space="preserve">2.13%</w:t>
            </w:r>
          </w:p>
        </w:tc>
      </w:tr>
      <w:tr>
        <w:tc>
          <w:tcPr/>
          <w:p>
            <w:pPr>
              <w:pStyle w:val="Compact"/>
              <w:jc w:val="left"/>
            </w:pPr>
            <w:r>
              <w:t xml:space="preserve">Scope 1</w:t>
            </w:r>
          </w:p>
        </w:tc>
        <w:tc>
          <w:tcPr/>
          <w:p>
            <w:pPr>
              <w:pStyle w:val="Compact"/>
              <w:jc w:val="left"/>
            </w:pPr>
            <w:r>
              <w:t xml:space="preserve">Fugitive VOC / Process Curing Off-gases</w:t>
            </w:r>
          </w:p>
        </w:tc>
        <w:tc>
          <w:tcPr/>
          <w:p>
            <w:pPr>
              <w:pStyle w:val="Compact"/>
              <w:jc w:val="left"/>
            </w:pPr>
            <w:r>
              <w:t xml:space="preserve">0.003 kg VOC</w:t>
            </w:r>
          </w:p>
        </w:tc>
        <w:tc>
          <w:tcPr/>
          <w:p>
            <w:pPr>
              <w:pStyle w:val="Compact"/>
              <w:jc w:val="left"/>
            </w:pPr>
            <w:r>
              <w:t xml:space="preserve">3.1000 kg CO</w:t>
            </w:r>
            <w:r>
              <w:rPr>
                <w:vertAlign w:val="subscript"/>
              </w:rPr>
              <w:t xml:space="preserve">2</w:t>
            </w:r>
            <w:r>
              <w:t xml:space="preserve">e/kg</w:t>
            </w:r>
          </w:p>
        </w:tc>
        <w:tc>
          <w:tcPr/>
          <w:p>
            <w:pPr>
              <w:pStyle w:val="Compact"/>
              <w:jc w:val="left"/>
            </w:pPr>
            <w:r>
              <w:t xml:space="preserve">0.0093</w:t>
            </w:r>
          </w:p>
        </w:tc>
        <w:tc>
          <w:tcPr/>
          <w:p>
            <w:pPr>
              <w:pStyle w:val="Compact"/>
              <w:jc w:val="left"/>
            </w:pPr>
            <w:r>
              <w:t xml:space="preserve">0.27%</w:t>
            </w:r>
          </w:p>
        </w:tc>
      </w:tr>
      <w:tr>
        <w:tc>
          <w:tcPr>
            <w:gridSpan w:val="4"/>
          </w:tcPr>
          <w:p>
            <w:pPr>
              <w:pStyle w:val="Compact"/>
              <w:jc w:val="left"/>
            </w:pPr>
            <w:r>
              <w:t xml:space="preserve">Subtotal Scope 1 (Direct Operations)</w:t>
            </w:r>
          </w:p>
        </w:tc>
        <w:tc>
          <w:tcPr/>
          <w:p>
            <w:pPr>
              <w:pStyle w:val="Compact"/>
              <w:jc w:val="left"/>
            </w:pPr>
            <w:r>
              <w:t xml:space="preserve">0.0823</w:t>
            </w:r>
          </w:p>
        </w:tc>
        <w:tc>
          <w:tcPr/>
          <w:p>
            <w:pPr>
              <w:pStyle w:val="Compact"/>
              <w:jc w:val="left"/>
            </w:pPr>
            <w:r>
              <w:t xml:space="preserve">2.40%</w:t>
            </w:r>
          </w:p>
        </w:tc>
      </w:tr>
      <w:tr>
        <w:tc>
          <w:tcPr/>
          <w:p>
            <w:pPr>
              <w:pStyle w:val="Compact"/>
              <w:jc w:val="left"/>
            </w:pPr>
            <w:r>
              <w:t xml:space="preserve">Scope 2</w:t>
            </w:r>
          </w:p>
        </w:tc>
        <w:tc>
          <w:tcPr/>
          <w:p>
            <w:pPr>
              <w:pStyle w:val="Compact"/>
              <w:jc w:val="left"/>
            </w:pPr>
            <w:r>
              <w:t xml:space="preserve">Purchased Electricity (China East Grid, Location)</w:t>
            </w:r>
          </w:p>
        </w:tc>
        <w:tc>
          <w:tcPr/>
          <w:p>
            <w:pPr>
              <w:pStyle w:val="Compact"/>
              <w:jc w:val="left"/>
            </w:pPr>
            <w:r>
              <w:t xml:space="preserve">0.820 kWh</w:t>
            </w:r>
          </w:p>
        </w:tc>
        <w:tc>
          <w:tcPr/>
          <w:p>
            <w:pPr>
              <w:pStyle w:val="Compact"/>
              <w:jc w:val="left"/>
            </w:pPr>
            <w:r>
              <w:t xml:space="preserve">0.5700 kg CO</w:t>
            </w:r>
            <w:r>
              <w:rPr>
                <w:vertAlign w:val="subscript"/>
              </w:rPr>
              <w:t xml:space="preserve">2</w:t>
            </w:r>
            <w:r>
              <w:t xml:space="preserve">e/kWh</w:t>
            </w:r>
          </w:p>
        </w:tc>
        <w:tc>
          <w:tcPr/>
          <w:p>
            <w:pPr>
              <w:pStyle w:val="Compact"/>
              <w:jc w:val="left"/>
            </w:pPr>
            <w:r>
              <w:t xml:space="preserve">0.4674</w:t>
            </w:r>
          </w:p>
        </w:tc>
        <w:tc>
          <w:tcPr/>
          <w:p>
            <w:pPr>
              <w:pStyle w:val="Compact"/>
              <w:jc w:val="left"/>
            </w:pPr>
            <w:r>
              <w:t xml:space="preserve">13.65%</w:t>
            </w:r>
          </w:p>
        </w:tc>
      </w:tr>
      <w:tr>
        <w:tc>
          <w:tcPr/>
          <w:p>
            <w:pPr>
              <w:pStyle w:val="Compact"/>
              <w:jc w:val="left"/>
            </w:pPr>
            <w:r>
              <w:t xml:space="preserve">Scope 2</w:t>
            </w:r>
          </w:p>
        </w:tc>
        <w:tc>
          <w:tcPr/>
          <w:p>
            <w:pPr>
              <w:pStyle w:val="Compact"/>
              <w:jc w:val="left"/>
            </w:pPr>
            <w:r>
              <w:t xml:space="preserve">Purchased Industrial Process Steam (Auxiliary)</w:t>
            </w:r>
          </w:p>
        </w:tc>
        <w:tc>
          <w:tcPr/>
          <w:p>
            <w:pPr>
              <w:pStyle w:val="Compact"/>
              <w:jc w:val="left"/>
            </w:pPr>
            <w:r>
              <w:t xml:space="preserve">0.280 MJ</w:t>
            </w:r>
          </w:p>
        </w:tc>
        <w:tc>
          <w:tcPr/>
          <w:p>
            <w:pPr>
              <w:pStyle w:val="Compact"/>
              <w:jc w:val="left"/>
            </w:pPr>
            <w:r>
              <w:t xml:space="preserve">0.0720 kg CO</w:t>
            </w:r>
            <w:r>
              <w:rPr>
                <w:vertAlign w:val="subscript"/>
              </w:rPr>
              <w:t xml:space="preserve">2</w:t>
            </w:r>
            <w:r>
              <w:t xml:space="preserve">e/MJ</w:t>
            </w:r>
          </w:p>
        </w:tc>
        <w:tc>
          <w:tcPr/>
          <w:p>
            <w:pPr>
              <w:pStyle w:val="Compact"/>
              <w:jc w:val="left"/>
            </w:pPr>
            <w:r>
              <w:t xml:space="preserve">0.0202</w:t>
            </w:r>
          </w:p>
        </w:tc>
        <w:tc>
          <w:tcPr/>
          <w:p>
            <w:pPr>
              <w:pStyle w:val="Compact"/>
              <w:jc w:val="left"/>
            </w:pPr>
            <w:r>
              <w:t xml:space="preserve">0.59%</w:t>
            </w:r>
          </w:p>
        </w:tc>
      </w:tr>
      <w:tr>
        <w:tc>
          <w:tcPr>
            <w:gridSpan w:val="4"/>
          </w:tcPr>
          <w:p>
            <w:pPr>
              <w:pStyle w:val="Compact"/>
              <w:jc w:val="left"/>
            </w:pPr>
            <w:r>
              <w:t xml:space="preserve">Subtotal Scope 2 (Purchased Energy - Location Based)</w:t>
            </w:r>
          </w:p>
        </w:tc>
        <w:tc>
          <w:tcPr/>
          <w:p>
            <w:pPr>
              <w:pStyle w:val="Compact"/>
              <w:jc w:val="left"/>
            </w:pPr>
            <w:r>
              <w:t xml:space="preserve">0.4876</w:t>
            </w:r>
          </w:p>
        </w:tc>
        <w:tc>
          <w:tcPr/>
          <w:p>
            <w:pPr>
              <w:pStyle w:val="Compact"/>
              <w:jc w:val="left"/>
            </w:pPr>
            <w:r>
              <w:t xml:space="preserve">14.24%</w:t>
            </w:r>
          </w:p>
        </w:tc>
      </w:tr>
      <w:tr>
        <w:tc>
          <w:tcPr/>
          <w:p>
            <w:pPr>
              <w:pStyle w:val="Compact"/>
              <w:jc w:val="left"/>
            </w:pPr>
            <w:r>
              <w:t xml:space="preserve">Scope 3: Cat 1</w:t>
            </w:r>
          </w:p>
        </w:tc>
        <w:tc>
          <w:tcPr/>
          <w:p>
            <w:pPr>
              <w:pStyle w:val="Compact"/>
              <w:jc w:val="left"/>
            </w:pPr>
            <w:r>
              <w:t xml:space="preserve">Natural Rubber (TSR20) — Fossil Processing</w:t>
            </w:r>
          </w:p>
        </w:tc>
        <w:tc>
          <w:tcPr/>
          <w:p>
            <w:pPr>
              <w:pStyle w:val="Compact"/>
              <w:jc w:val="left"/>
            </w:pPr>
            <w:r>
              <w:t xml:space="preserve">0.350 kg</w:t>
            </w:r>
          </w:p>
        </w:tc>
        <w:tc>
          <w:tcPr/>
          <w:p>
            <w:pPr>
              <w:pStyle w:val="Compact"/>
              <w:jc w:val="left"/>
            </w:pPr>
            <w:r>
              <w:t xml:space="preserve">1.5200 kg CO</w:t>
            </w:r>
            <w:r>
              <w:rPr>
                <w:vertAlign w:val="subscript"/>
              </w:rPr>
              <w:t xml:space="preserve">2</w:t>
            </w:r>
            <w:r>
              <w:t xml:space="preserve">e/kg</w:t>
            </w:r>
          </w:p>
        </w:tc>
        <w:tc>
          <w:tcPr/>
          <w:p>
            <w:pPr>
              <w:pStyle w:val="Compact"/>
              <w:jc w:val="left"/>
            </w:pPr>
            <w:r>
              <w:t xml:space="preserve">0.5320</w:t>
            </w:r>
          </w:p>
        </w:tc>
        <w:tc>
          <w:tcPr/>
          <w:p>
            <w:pPr>
              <w:pStyle w:val="Compact"/>
              <w:jc w:val="left"/>
            </w:pPr>
            <w:r>
              <w:t xml:space="preserve">15.54%</w:t>
            </w:r>
          </w:p>
        </w:tc>
      </w:tr>
      <w:tr>
        <w:tc>
          <w:tcPr/>
          <w:p>
            <w:pPr>
              <w:pStyle w:val="Compact"/>
              <w:jc w:val="left"/>
            </w:pPr>
            <w:r>
              <w:t xml:space="preserve">Scope 3: Cat 1</w:t>
            </w:r>
          </w:p>
        </w:tc>
        <w:tc>
          <w:tcPr/>
          <w:p>
            <w:pPr>
              <w:pStyle w:val="Compact"/>
              <w:jc w:val="left"/>
            </w:pPr>
            <w:r>
              <w:t xml:space="preserve">Styrene-Butadiene Rubber (SBR-1502)</w:t>
            </w:r>
          </w:p>
        </w:tc>
        <w:tc>
          <w:tcPr/>
          <w:p>
            <w:pPr>
              <w:pStyle w:val="Compact"/>
              <w:jc w:val="left"/>
            </w:pPr>
            <w:r>
              <w:t xml:space="preserve">0.250 kg</w:t>
            </w:r>
          </w:p>
        </w:tc>
        <w:tc>
          <w:tcPr/>
          <w:p>
            <w:pPr>
              <w:pStyle w:val="Compact"/>
              <w:jc w:val="left"/>
            </w:pPr>
            <w:r>
              <w:t xml:space="preserve">3.4500 kg CO</w:t>
            </w:r>
            <w:r>
              <w:rPr>
                <w:vertAlign w:val="subscript"/>
              </w:rPr>
              <w:t xml:space="preserve">2</w:t>
            </w:r>
            <w:r>
              <w:t xml:space="preserve">e/kg</w:t>
            </w:r>
          </w:p>
        </w:tc>
        <w:tc>
          <w:tcPr/>
          <w:p>
            <w:pPr>
              <w:pStyle w:val="Compact"/>
              <w:jc w:val="left"/>
            </w:pPr>
            <w:r>
              <w:t xml:space="preserve">0.8625</w:t>
            </w:r>
          </w:p>
        </w:tc>
        <w:tc>
          <w:tcPr/>
          <w:p>
            <w:pPr>
              <w:pStyle w:val="Compact"/>
              <w:jc w:val="left"/>
            </w:pPr>
            <w:r>
              <w:t xml:space="preserve">25.19%</w:t>
            </w:r>
          </w:p>
        </w:tc>
      </w:tr>
      <w:tr>
        <w:tc>
          <w:tcPr/>
          <w:p>
            <w:pPr>
              <w:pStyle w:val="Compact"/>
              <w:jc w:val="left"/>
            </w:pPr>
            <w:r>
              <w:t xml:space="preserve">Scope 3: Cat 1</w:t>
            </w:r>
          </w:p>
        </w:tc>
        <w:tc>
          <w:tcPr/>
          <w:p>
            <w:pPr>
              <w:pStyle w:val="Compact"/>
              <w:jc w:val="left"/>
            </w:pPr>
            <w:r>
              <w:t xml:space="preserve">Carbon Black (N330 High Abrasion)</w:t>
            </w:r>
          </w:p>
        </w:tc>
        <w:tc>
          <w:tcPr/>
          <w:p>
            <w:pPr>
              <w:pStyle w:val="Compact"/>
              <w:jc w:val="left"/>
            </w:pPr>
            <w:r>
              <w:t xml:space="preserve">0.250 kg</w:t>
            </w:r>
          </w:p>
        </w:tc>
        <w:tc>
          <w:tcPr/>
          <w:p>
            <w:pPr>
              <w:pStyle w:val="Compact"/>
              <w:jc w:val="left"/>
            </w:pPr>
            <w:r>
              <w:t xml:space="preserve">2.5800 kg CO</w:t>
            </w:r>
            <w:r>
              <w:rPr>
                <w:vertAlign w:val="subscript"/>
              </w:rPr>
              <w:t xml:space="preserve">2</w:t>
            </w:r>
            <w:r>
              <w:t xml:space="preserve">e/kg</w:t>
            </w:r>
          </w:p>
        </w:tc>
        <w:tc>
          <w:tcPr/>
          <w:p>
            <w:pPr>
              <w:pStyle w:val="Compact"/>
              <w:jc w:val="left"/>
            </w:pPr>
            <w:r>
              <w:t xml:space="preserve">0.6450</w:t>
            </w:r>
          </w:p>
        </w:tc>
        <w:tc>
          <w:tcPr/>
          <w:p>
            <w:pPr>
              <w:pStyle w:val="Compact"/>
              <w:jc w:val="left"/>
            </w:pPr>
            <w:r>
              <w:t xml:space="preserve">18.84%</w:t>
            </w:r>
          </w:p>
        </w:tc>
      </w:tr>
      <w:tr>
        <w:tc>
          <w:tcPr/>
          <w:p>
            <w:pPr>
              <w:pStyle w:val="Compact"/>
              <w:jc w:val="left"/>
            </w:pPr>
            <w:r>
              <w:t xml:space="preserve">Scope 3: Cat 1</w:t>
            </w:r>
          </w:p>
        </w:tc>
        <w:tc>
          <w:tcPr/>
          <w:p>
            <w:pPr>
              <w:pStyle w:val="Compact"/>
              <w:jc w:val="left"/>
            </w:pPr>
            <w:r>
              <w:t xml:space="preserve">Paraffinic Extender Oil</w:t>
            </w:r>
          </w:p>
        </w:tc>
        <w:tc>
          <w:tcPr/>
          <w:p>
            <w:pPr>
              <w:pStyle w:val="Compact"/>
              <w:jc w:val="left"/>
            </w:pPr>
            <w:r>
              <w:t xml:space="preserve">0.080 kg</w:t>
            </w:r>
          </w:p>
        </w:tc>
        <w:tc>
          <w:tcPr/>
          <w:p>
            <w:pPr>
              <w:pStyle w:val="Compact"/>
              <w:jc w:val="left"/>
            </w:pPr>
            <w:r>
              <w:t xml:space="preserve">1.9200 kg CO</w:t>
            </w:r>
            <w:r>
              <w:rPr>
                <w:vertAlign w:val="subscript"/>
              </w:rPr>
              <w:t xml:space="preserve">2</w:t>
            </w:r>
            <w:r>
              <w:t xml:space="preserve">e/kg</w:t>
            </w:r>
          </w:p>
        </w:tc>
        <w:tc>
          <w:tcPr/>
          <w:p>
            <w:pPr>
              <w:pStyle w:val="Compact"/>
              <w:jc w:val="left"/>
            </w:pPr>
            <w:r>
              <w:t xml:space="preserve">0.1536</w:t>
            </w:r>
          </w:p>
        </w:tc>
        <w:tc>
          <w:tcPr/>
          <w:p>
            <w:pPr>
              <w:pStyle w:val="Compact"/>
              <w:jc w:val="left"/>
            </w:pPr>
            <w:r>
              <w:t xml:space="preserve">4.49%</w:t>
            </w:r>
          </w:p>
        </w:tc>
      </w:tr>
      <w:tr>
        <w:tc>
          <w:tcPr/>
          <w:p>
            <w:pPr>
              <w:pStyle w:val="Compact"/>
              <w:jc w:val="left"/>
            </w:pPr>
            <w:r>
              <w:t xml:space="preserve">Scope 3: Cat 1</w:t>
            </w:r>
          </w:p>
        </w:tc>
        <w:tc>
          <w:tcPr/>
          <w:p>
            <w:pPr>
              <w:pStyle w:val="Compact"/>
              <w:jc w:val="left"/>
            </w:pPr>
            <w:r>
              <w:t xml:space="preserve">Zinc Oxide (French Process, 99.7%)</w:t>
            </w:r>
          </w:p>
        </w:tc>
        <w:tc>
          <w:tcPr/>
          <w:p>
            <w:pPr>
              <w:pStyle w:val="Compact"/>
              <w:jc w:val="left"/>
            </w:pPr>
            <w:r>
              <w:t xml:space="preserve">0.030 kg</w:t>
            </w:r>
          </w:p>
        </w:tc>
        <w:tc>
          <w:tcPr/>
          <w:p>
            <w:pPr>
              <w:pStyle w:val="Compact"/>
              <w:jc w:val="left"/>
            </w:pPr>
            <w:r>
              <w:t xml:space="preserve">2.7800 kg CO</w:t>
            </w:r>
            <w:r>
              <w:rPr>
                <w:vertAlign w:val="subscript"/>
              </w:rPr>
              <w:t xml:space="preserve">2</w:t>
            </w:r>
            <w:r>
              <w:t xml:space="preserve">e/kg</w:t>
            </w:r>
          </w:p>
        </w:tc>
        <w:tc>
          <w:tcPr/>
          <w:p>
            <w:pPr>
              <w:pStyle w:val="Compact"/>
              <w:jc w:val="left"/>
            </w:pPr>
            <w:r>
              <w:t xml:space="preserve">0.0834</w:t>
            </w:r>
          </w:p>
        </w:tc>
        <w:tc>
          <w:tcPr/>
          <w:p>
            <w:pPr>
              <w:pStyle w:val="Compact"/>
              <w:jc w:val="left"/>
            </w:pPr>
            <w:r>
              <w:t xml:space="preserve">2.44%</w:t>
            </w:r>
          </w:p>
        </w:tc>
      </w:tr>
      <w:tr>
        <w:tc>
          <w:tcPr/>
          <w:p>
            <w:pPr>
              <w:pStyle w:val="Compact"/>
              <w:jc w:val="left"/>
            </w:pPr>
            <w:r>
              <w:t xml:space="preserve">Scope 3: Cat 1</w:t>
            </w:r>
          </w:p>
        </w:tc>
        <w:tc>
          <w:tcPr/>
          <w:p>
            <w:pPr>
              <w:pStyle w:val="Compact"/>
              <w:jc w:val="left"/>
            </w:pPr>
            <w:r>
              <w:t xml:space="preserve">Stearic Acid &amp; Vulcanizing Agents (Sulfur/TBBS)</w:t>
            </w:r>
          </w:p>
        </w:tc>
        <w:tc>
          <w:tcPr/>
          <w:p>
            <w:pPr>
              <w:pStyle w:val="Compact"/>
              <w:jc w:val="left"/>
            </w:pPr>
            <w:r>
              <w:t xml:space="preserve">0.040 kg</w:t>
            </w:r>
          </w:p>
        </w:tc>
        <w:tc>
          <w:tcPr/>
          <w:p>
            <w:pPr>
              <w:pStyle w:val="Compact"/>
              <w:jc w:val="left"/>
            </w:pPr>
            <w:r>
              <w:t xml:space="preserve">2.3500 kg CO</w:t>
            </w:r>
            <w:r>
              <w:rPr>
                <w:vertAlign w:val="subscript"/>
              </w:rPr>
              <w:t xml:space="preserve">2</w:t>
            </w:r>
            <w:r>
              <w:t xml:space="preserve">e/kg</w:t>
            </w:r>
          </w:p>
        </w:tc>
        <w:tc>
          <w:tcPr/>
          <w:p>
            <w:pPr>
              <w:pStyle w:val="Compact"/>
              <w:jc w:val="left"/>
            </w:pPr>
            <w:r>
              <w:t xml:space="preserve">0.0940</w:t>
            </w:r>
          </w:p>
        </w:tc>
        <w:tc>
          <w:tcPr/>
          <w:p>
            <w:pPr>
              <w:pStyle w:val="Compact"/>
              <w:jc w:val="left"/>
            </w:pPr>
            <w:r>
              <w:t xml:space="preserve">2.75%</w:t>
            </w:r>
          </w:p>
        </w:tc>
      </w:tr>
      <w:tr>
        <w:tc>
          <w:tcPr/>
          <w:p>
            <w:pPr>
              <w:pStyle w:val="Compact"/>
              <w:jc w:val="left"/>
            </w:pPr>
            <w:r>
              <w:t xml:space="preserve">Scope 3: Cat 1</w:t>
            </w:r>
          </w:p>
        </w:tc>
        <w:tc>
          <w:tcPr/>
          <w:p>
            <w:pPr>
              <w:pStyle w:val="Compact"/>
              <w:jc w:val="left"/>
            </w:pPr>
            <w:r>
              <w:t xml:space="preserve">Packaging Liners (LDPE sheet &amp; wood fraction)</w:t>
            </w:r>
          </w:p>
        </w:tc>
        <w:tc>
          <w:tcPr/>
          <w:p>
            <w:pPr>
              <w:pStyle w:val="Compact"/>
              <w:jc w:val="left"/>
            </w:pPr>
            <w:r>
              <w:t xml:space="preserve">0.012 kg</w:t>
            </w:r>
          </w:p>
        </w:tc>
        <w:tc>
          <w:tcPr/>
          <w:p>
            <w:pPr>
              <w:pStyle w:val="Compact"/>
              <w:jc w:val="left"/>
            </w:pPr>
            <w:r>
              <w:t xml:space="preserve">2.1000 kg CO</w:t>
            </w:r>
            <w:r>
              <w:rPr>
                <w:vertAlign w:val="subscript"/>
              </w:rPr>
              <w:t xml:space="preserve">2</w:t>
            </w:r>
            <w:r>
              <w:t xml:space="preserve">e/kg</w:t>
            </w:r>
          </w:p>
        </w:tc>
        <w:tc>
          <w:tcPr/>
          <w:p>
            <w:pPr>
              <w:pStyle w:val="Compact"/>
              <w:jc w:val="left"/>
            </w:pPr>
            <w:r>
              <w:t xml:space="preserve">0.0252</w:t>
            </w:r>
          </w:p>
        </w:tc>
        <w:tc>
          <w:tcPr/>
          <w:p>
            <w:pPr>
              <w:pStyle w:val="Compact"/>
              <w:jc w:val="left"/>
            </w:pPr>
            <w:r>
              <w:t xml:space="preserve">0.74%</w:t>
            </w:r>
          </w:p>
        </w:tc>
      </w:tr>
      <w:tr>
        <w:tc>
          <w:tcPr/>
          <w:p>
            <w:pPr>
              <w:pStyle w:val="Compact"/>
              <w:jc w:val="left"/>
            </w:pPr>
            <w:r>
              <w:t xml:space="preserve">Scope 3: Cat 3</w:t>
            </w:r>
          </w:p>
        </w:tc>
        <w:tc>
          <w:tcPr/>
          <w:p>
            <w:pPr>
              <w:pStyle w:val="Compact"/>
              <w:jc w:val="left"/>
            </w:pPr>
            <w:r>
              <w:t xml:space="preserve">Fuel &amp; Energy Related Activities (WTT Grid Losses)</w:t>
            </w:r>
          </w:p>
        </w:tc>
        <w:tc>
          <w:tcPr/>
          <w:p>
            <w:pPr>
              <w:pStyle w:val="Compact"/>
              <w:jc w:val="left"/>
            </w:pPr>
            <w:r>
              <w:t xml:space="preserve">0.820 kWh</w:t>
            </w:r>
          </w:p>
        </w:tc>
        <w:tc>
          <w:tcPr/>
          <w:p>
            <w:pPr>
              <w:pStyle w:val="Compact"/>
              <w:jc w:val="left"/>
            </w:pPr>
            <w:r>
              <w:t xml:space="preserve">0.0910 kg CO</w:t>
            </w:r>
            <w:r>
              <w:rPr>
                <w:vertAlign w:val="subscript"/>
              </w:rPr>
              <w:t xml:space="preserve">2</w:t>
            </w:r>
            <w:r>
              <w:t xml:space="preserve">e/kWh</w:t>
            </w:r>
          </w:p>
        </w:tc>
        <w:tc>
          <w:tcPr/>
          <w:p>
            <w:pPr>
              <w:pStyle w:val="Compact"/>
              <w:jc w:val="left"/>
            </w:pPr>
            <w:r>
              <w:t xml:space="preserve">0.0746</w:t>
            </w:r>
          </w:p>
        </w:tc>
        <w:tc>
          <w:tcPr/>
          <w:p>
            <w:pPr>
              <w:pStyle w:val="Compact"/>
              <w:jc w:val="left"/>
            </w:pPr>
            <w:r>
              <w:t xml:space="preserve">2.18%</w:t>
            </w:r>
          </w:p>
        </w:tc>
      </w:tr>
      <w:tr>
        <w:tc>
          <w:tcPr/>
          <w:p>
            <w:pPr>
              <w:pStyle w:val="Compact"/>
              <w:jc w:val="left"/>
            </w:pPr>
            <w:r>
              <w:t xml:space="preserve">Scope 3: Cat 4</w:t>
            </w:r>
          </w:p>
        </w:tc>
        <w:tc>
          <w:tcPr/>
          <w:p>
            <w:pPr>
              <w:pStyle w:val="Compact"/>
              <w:jc w:val="left"/>
            </w:pPr>
            <w:r>
              <w:t xml:space="preserve">Inbound Maritime Freight (Transoceanic)</w:t>
            </w:r>
          </w:p>
        </w:tc>
        <w:tc>
          <w:tcPr/>
          <w:p>
            <w:pPr>
              <w:pStyle w:val="Compact"/>
              <w:jc w:val="left"/>
            </w:pPr>
            <w:r>
              <w:t xml:space="preserve">0.875 t·km</w:t>
            </w:r>
          </w:p>
        </w:tc>
        <w:tc>
          <w:tcPr/>
          <w:p>
            <w:pPr>
              <w:pStyle w:val="Compact"/>
              <w:jc w:val="left"/>
            </w:pPr>
            <w:r>
              <w:t xml:space="preserve">0.0142 kg CO</w:t>
            </w:r>
            <w:r>
              <w:rPr>
                <w:vertAlign w:val="subscript"/>
              </w:rPr>
              <w:t xml:space="preserve">2</w:t>
            </w:r>
            <w:r>
              <w:t xml:space="preserve">e/t·km</w:t>
            </w:r>
          </w:p>
        </w:tc>
        <w:tc>
          <w:tcPr/>
          <w:p>
            <w:pPr>
              <w:pStyle w:val="Compact"/>
              <w:jc w:val="left"/>
            </w:pPr>
            <w:r>
              <w:t xml:space="preserve">0.0124</w:t>
            </w:r>
          </w:p>
        </w:tc>
        <w:tc>
          <w:tcPr/>
          <w:p>
            <w:pPr>
              <w:pStyle w:val="Compact"/>
              <w:jc w:val="left"/>
            </w:pPr>
            <w:r>
              <w:t xml:space="preserve">0.36%</w:t>
            </w:r>
          </w:p>
        </w:tc>
      </w:tr>
      <w:tr>
        <w:tc>
          <w:tcPr/>
          <w:p>
            <w:pPr>
              <w:pStyle w:val="Compact"/>
              <w:jc w:val="left"/>
            </w:pPr>
            <w:r>
              <w:t xml:space="preserve">Scope 3: Cat 4</w:t>
            </w:r>
          </w:p>
        </w:tc>
        <w:tc>
          <w:tcPr/>
          <w:p>
            <w:pPr>
              <w:pStyle w:val="Compact"/>
              <w:jc w:val="left"/>
            </w:pPr>
            <w:r>
              <w:t xml:space="preserve">Inbound Road Truck Freight (Mainland China)</w:t>
            </w:r>
          </w:p>
        </w:tc>
        <w:tc>
          <w:tcPr/>
          <w:p>
            <w:pPr>
              <w:pStyle w:val="Compact"/>
              <w:jc w:val="left"/>
            </w:pPr>
            <w:r>
              <w:t xml:space="preserve">0.310 t·km</w:t>
            </w:r>
          </w:p>
        </w:tc>
        <w:tc>
          <w:tcPr/>
          <w:p>
            <w:pPr>
              <w:pStyle w:val="Compact"/>
              <w:jc w:val="left"/>
            </w:pPr>
            <w:r>
              <w:t xml:space="preserve">0.0948 kg CO</w:t>
            </w:r>
            <w:r>
              <w:rPr>
                <w:vertAlign w:val="subscript"/>
              </w:rPr>
              <w:t xml:space="preserve">2</w:t>
            </w:r>
            <w:r>
              <w:t xml:space="preserve">e/t·km</w:t>
            </w:r>
          </w:p>
        </w:tc>
        <w:tc>
          <w:tcPr/>
          <w:p>
            <w:pPr>
              <w:pStyle w:val="Compact"/>
              <w:jc w:val="left"/>
            </w:pPr>
            <w:r>
              <w:t xml:space="preserve">0.0294</w:t>
            </w:r>
          </w:p>
        </w:tc>
        <w:tc>
          <w:tcPr/>
          <w:p>
            <w:pPr>
              <w:pStyle w:val="Compact"/>
              <w:jc w:val="left"/>
            </w:pPr>
            <w:r>
              <w:t xml:space="preserve">0.86%</w:t>
            </w:r>
          </w:p>
        </w:tc>
      </w:tr>
      <w:tr>
        <w:tc>
          <w:tcPr>
            <w:gridSpan w:val="4"/>
          </w:tcPr>
          <w:p>
            <w:pPr>
              <w:pStyle w:val="Compact"/>
              <w:jc w:val="left"/>
            </w:pPr>
            <w:r>
              <w:t xml:space="preserve">Subtotal Scope 3 (Value Chain - Raw Materials &amp; Logistics)</w:t>
            </w:r>
          </w:p>
        </w:tc>
        <w:tc>
          <w:tcPr/>
          <w:p>
            <w:pPr>
              <w:pStyle w:val="Compact"/>
              <w:jc w:val="left"/>
            </w:pPr>
            <w:r>
              <w:t xml:space="preserve">2.5121</w:t>
            </w:r>
          </w:p>
        </w:tc>
        <w:tc>
          <w:tcPr/>
          <w:p>
            <w:pPr>
              <w:pStyle w:val="Compact"/>
              <w:jc w:val="left"/>
            </w:pPr>
            <w:r>
              <w:t xml:space="preserve">73.37%</w:t>
            </w:r>
          </w:p>
        </w:tc>
      </w:tr>
      <w:tr>
        <w:tc>
          <w:tcPr/>
          <w:p>
            <w:pPr>
              <w:pStyle w:val="Compact"/>
              <w:jc w:val="left"/>
            </w:pPr>
            <w:r>
              <w:t xml:space="preserve">LSR Standard</w:t>
            </w:r>
          </w:p>
        </w:tc>
        <w:tc>
          <w:tcPr/>
          <w:p>
            <w:pPr>
              <w:pStyle w:val="Compact"/>
              <w:jc w:val="left"/>
            </w:pPr>
            <w:r>
              <w:t xml:space="preserve">Direct Land-Use Change (dLUC — NR Plantations)</w:t>
            </w:r>
          </w:p>
        </w:tc>
        <w:tc>
          <w:tcPr/>
          <w:p>
            <w:pPr>
              <w:pStyle w:val="Compact"/>
              <w:jc w:val="left"/>
            </w:pPr>
            <w:r>
              <w:t xml:space="preserve">0.350 kg NR</w:t>
            </w:r>
          </w:p>
        </w:tc>
        <w:tc>
          <w:tcPr/>
          <w:p>
            <w:pPr>
              <w:pStyle w:val="Compact"/>
              <w:jc w:val="left"/>
            </w:pPr>
            <w:r>
              <w:t xml:space="preserve">0.2800 kg CO</w:t>
            </w:r>
            <w:r>
              <w:rPr>
                <w:vertAlign w:val="subscript"/>
              </w:rPr>
              <w:t xml:space="preserve">2</w:t>
            </w:r>
            <w:r>
              <w:t xml:space="preserve">e/kg</w:t>
            </w:r>
          </w:p>
        </w:tc>
        <w:tc>
          <w:tcPr/>
          <w:p>
            <w:pPr>
              <w:pStyle w:val="Compact"/>
              <w:jc w:val="left"/>
            </w:pPr>
            <w:r>
              <w:t xml:space="preserve">+0.0980</w:t>
            </w:r>
          </w:p>
        </w:tc>
        <w:tc>
          <w:tcPr/>
          <w:p>
            <w:pPr>
              <w:pStyle w:val="Compact"/>
              <w:jc w:val="left"/>
            </w:pPr>
            <w:r>
              <w:t xml:space="preserve">+2.86%</w:t>
            </w:r>
          </w:p>
        </w:tc>
      </w:tr>
      <w:tr>
        <w:tc>
          <w:tcPr/>
          <w:p>
            <w:pPr>
              <w:pStyle w:val="Compact"/>
              <w:jc w:val="left"/>
            </w:pPr>
            <w:r>
              <w:t xml:space="preserve">LSR Standard</w:t>
            </w:r>
          </w:p>
        </w:tc>
        <w:tc>
          <w:tcPr/>
          <w:p>
            <w:pPr>
              <w:pStyle w:val="Compact"/>
              <w:jc w:val="left"/>
            </w:pPr>
            <w:r>
              <w:t xml:space="preserve">Agricultural N</w:t>
            </w:r>
            <w:r>
              <w:rPr>
                <w:vertAlign w:val="subscript"/>
              </w:rPr>
              <w:t xml:space="preserve">2</w:t>
            </w:r>
            <w:r>
              <w:t xml:space="preserve">O &amp; Fertilizer Management</w:t>
            </w:r>
          </w:p>
        </w:tc>
        <w:tc>
          <w:tcPr/>
          <w:p>
            <w:pPr>
              <w:pStyle w:val="Compact"/>
              <w:jc w:val="left"/>
            </w:pPr>
            <w:r>
              <w:t xml:space="preserve">0.350 kg NR</w:t>
            </w:r>
          </w:p>
        </w:tc>
        <w:tc>
          <w:tcPr/>
          <w:p>
            <w:pPr>
              <w:pStyle w:val="Compact"/>
              <w:jc w:val="left"/>
            </w:pPr>
            <w:r>
              <w:t xml:space="preserve">0.1200 kg CO</w:t>
            </w:r>
            <w:r>
              <w:rPr>
                <w:vertAlign w:val="subscript"/>
              </w:rPr>
              <w:t xml:space="preserve">2</w:t>
            </w:r>
            <w:r>
              <w:t xml:space="preserve">e/kg</w:t>
            </w:r>
          </w:p>
        </w:tc>
        <w:tc>
          <w:tcPr/>
          <w:p>
            <w:pPr>
              <w:pStyle w:val="Compact"/>
              <w:jc w:val="left"/>
            </w:pPr>
            <w:r>
              <w:t xml:space="preserve">+0.0420</w:t>
            </w:r>
          </w:p>
        </w:tc>
        <w:tc>
          <w:tcPr/>
          <w:p>
            <w:pPr>
              <w:pStyle w:val="Compact"/>
              <w:jc w:val="left"/>
            </w:pPr>
            <w:r>
              <w:t xml:space="preserve">+1.23%</w:t>
            </w:r>
          </w:p>
        </w:tc>
      </w:tr>
      <w:tr>
        <w:tc>
          <w:tcPr/>
          <w:p>
            <w:pPr>
              <w:pStyle w:val="Compact"/>
              <w:jc w:val="left"/>
            </w:pPr>
            <w:r>
              <w:t xml:space="preserve">LSR Standard</w:t>
            </w:r>
          </w:p>
        </w:tc>
        <w:tc>
          <w:tcPr/>
          <w:p>
            <w:pPr>
              <w:pStyle w:val="Compact"/>
              <w:jc w:val="left"/>
            </w:pPr>
            <w:r>
              <w:t xml:space="preserve">Biogenic Carbon Removals (Sustained Agroforest Biomass)</w:t>
            </w:r>
          </w:p>
        </w:tc>
        <w:tc>
          <w:tcPr/>
          <w:p>
            <w:pPr>
              <w:pStyle w:val="Compact"/>
              <w:jc w:val="left"/>
            </w:pPr>
            <w:r>
              <w:t xml:space="preserve">0.350 kg NR</w:t>
            </w:r>
          </w:p>
        </w:tc>
        <w:tc>
          <w:tcPr/>
          <w:p>
            <w:pPr>
              <w:pStyle w:val="Compact"/>
              <w:jc w:val="left"/>
            </w:pPr>
            <w:r>
              <w:t xml:space="preserve">-0.3257 kg CO</w:t>
            </w:r>
            <w:r>
              <w:rPr>
                <w:vertAlign w:val="subscript"/>
              </w:rPr>
              <w:t xml:space="preserve">2</w:t>
            </w:r>
            <w:r>
              <w:t xml:space="preserve">e/kg</w:t>
            </w:r>
          </w:p>
        </w:tc>
        <w:tc>
          <w:tcPr/>
          <w:p>
            <w:pPr>
              <w:pStyle w:val="Compact"/>
              <w:jc w:val="left"/>
            </w:pPr>
            <w:r>
              <w:t xml:space="preserve">-0.1140</w:t>
            </w:r>
          </w:p>
        </w:tc>
        <w:tc>
          <w:tcPr/>
          <w:p>
            <w:pPr>
              <w:pStyle w:val="Compact"/>
              <w:jc w:val="left"/>
            </w:pPr>
            <w:r>
              <w:t xml:space="preserve">-3.33%</w:t>
            </w:r>
          </w:p>
        </w:tc>
      </w:tr>
      <w:tr>
        <w:tc>
          <w:tcPr>
            <w:gridSpan w:val="4"/>
          </w:tcPr>
          <w:p>
            <w:pPr>
              <w:pStyle w:val="Compact"/>
              <w:jc w:val="left"/>
            </w:pPr>
            <w:r>
              <w:t xml:space="preserve">Net Land Sector &amp; Removals (2026 LSR Net Balance)</w:t>
            </w:r>
          </w:p>
        </w:tc>
        <w:tc>
          <w:tcPr/>
          <w:p>
            <w:pPr>
              <w:pStyle w:val="Compact"/>
              <w:jc w:val="left"/>
            </w:pPr>
            <w:r>
              <w:t xml:space="preserve">+0.0260</w:t>
            </w:r>
          </w:p>
        </w:tc>
        <w:tc>
          <w:tcPr/>
          <w:p>
            <w:pPr>
              <w:pStyle w:val="Compact"/>
              <w:jc w:val="left"/>
            </w:pPr>
            <w:r>
              <w:t xml:space="preserve">+0.76%</w:t>
            </w:r>
          </w:p>
        </w:tc>
      </w:tr>
      <w:tr>
        <w:tc>
          <w:tcPr>
            <w:gridSpan w:val="4"/>
          </w:tcPr>
          <w:p>
            <w:pPr>
              <w:pStyle w:val="Compact"/>
              <w:jc w:val="left"/>
            </w:pPr>
            <w:r>
              <w:t xml:space="preserve">TOTAL PRODUCT CARBON FOOTPRINT (1.0 kg Compounded Rubber)</w:t>
            </w:r>
          </w:p>
        </w:tc>
        <w:tc>
          <w:tcPr/>
          <w:p>
            <w:pPr>
              <w:pStyle w:val="Compact"/>
              <w:jc w:val="left"/>
            </w:pPr>
            <w:r>
              <w:t xml:space="preserve">3.4240</w:t>
            </w:r>
          </w:p>
        </w:tc>
        <w:tc>
          <w:tcPr/>
          <w:p>
            <w:pPr>
              <w:pStyle w:val="Compact"/>
              <w:jc w:val="left"/>
            </w:pPr>
            <w:r>
              <w:t xml:space="preserve">100.00%</w:t>
            </w:r>
          </w:p>
        </w:tc>
      </w:tr>
    </w:tbl>
    <w:bookmarkStart w:id="26" w:name="X7960314b77382afab4276d018ee3272d35aeaa9"/>
    <w:p>
      <w:pPr>
        <w:pStyle w:val="Heading3"/>
      </w:pPr>
      <w:r>
        <w:t xml:space="preserve">2026 Land Sector and Removals (LSR) Dedicated Reporting Table</w:t>
      </w:r>
    </w:p>
    <w:p>
      <w:pPr>
        <w:pStyle w:val="FirstParagraph"/>
      </w:pPr>
      <w:r>
        <w:t xml:space="preserve">Under the 2026 LSR Standard rules, biogenic greenhouse gas fluxes, land management interventions, and removals cannot be hidden within net figures without itemized line reporting: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LSR Reporting Category</w:t>
            </w:r>
          </w:p>
        </w:tc>
        <w:tc>
          <w:tcPr/>
          <w:p>
            <w:pPr>
              <w:pStyle w:val="Compact"/>
              <w:jc w:val="left"/>
            </w:pPr>
            <w:r>
              <w:t xml:space="preserve">Activity Source</w:t>
            </w:r>
          </w:p>
        </w:tc>
        <w:tc>
          <w:tcPr/>
          <w:p>
            <w:pPr>
              <w:pStyle w:val="Compact"/>
              <w:jc w:val="left"/>
            </w:pPr>
            <w:r>
              <w:t xml:space="preserve">Result (kg CO</w:t>
            </w:r>
            <w:r>
              <w:rPr>
                <w:vertAlign w:val="subscript"/>
              </w:rPr>
              <w:t xml:space="preserve">2</w:t>
            </w:r>
            <w:r>
              <w:t xml:space="preserve">e)</w:t>
            </w:r>
          </w:p>
        </w:tc>
        <w:tc>
          <w:tcPr/>
          <w:p>
            <w:pPr>
              <w:pStyle w:val="Compact"/>
              <w:jc w:val="left"/>
            </w:pPr>
            <w:r>
              <w:t xml:space="preserve">Compliance Status</w:t>
            </w:r>
          </w:p>
        </w:tc>
      </w:tr>
      <w:tr>
        <w:tc>
          <w:tcPr/>
          <w:p>
            <w:pPr>
              <w:pStyle w:val="Compact"/>
              <w:jc w:val="left"/>
            </w:pPr>
            <w:r>
              <w:rPr>
                <w:bCs/>
                <w:b/>
              </w:rPr>
              <w:t xml:space="preserve">Direct Land-Use Change (dLUC)</w:t>
            </w:r>
          </w:p>
        </w:tc>
        <w:tc>
          <w:tcPr/>
          <w:p>
            <w:pPr>
              <w:pStyle w:val="Compact"/>
              <w:jc w:val="left"/>
            </w:pPr>
            <w:r>
              <w:t xml:space="preserve">20-year amortized rubber plantation expansion</w:t>
            </w:r>
          </w:p>
        </w:tc>
        <w:tc>
          <w:tcPr/>
          <w:p>
            <w:pPr>
              <w:pStyle w:val="Compact"/>
              <w:jc w:val="left"/>
            </w:pPr>
            <w:r>
              <w:t xml:space="preserve">+0.0980</w:t>
            </w:r>
          </w:p>
        </w:tc>
        <w:tc>
          <w:tcPr/>
          <w:p>
            <w:pPr>
              <w:pStyle w:val="Compact"/>
              <w:jc w:val="left"/>
            </w:pPr>
            <w:r>
              <w:t xml:space="preserve">Reported Separately</w:t>
            </w:r>
          </w:p>
        </w:tc>
      </w:tr>
      <w:tr>
        <w:tc>
          <w:tcPr/>
          <w:p>
            <w:pPr>
              <w:pStyle w:val="Compact"/>
              <w:jc w:val="left"/>
            </w:pPr>
            <w:r>
              <w:rPr>
                <w:bCs/>
                <w:b/>
              </w:rPr>
              <w:t xml:space="preserve">Land Management Emissions</w:t>
            </w:r>
          </w:p>
        </w:tc>
        <w:tc>
          <w:tcPr/>
          <w:p>
            <w:pPr>
              <w:pStyle w:val="Compact"/>
              <w:jc w:val="left"/>
            </w:pPr>
            <w:r>
              <w:t xml:space="preserve">Synthetic fertilizer &amp; organic soil nitrogen</w:t>
            </w:r>
          </w:p>
        </w:tc>
        <w:tc>
          <w:tcPr/>
          <w:p>
            <w:pPr>
              <w:pStyle w:val="Compact"/>
              <w:jc w:val="left"/>
            </w:pPr>
            <w:r>
              <w:t xml:space="preserve">+0.0420</w:t>
            </w:r>
          </w:p>
        </w:tc>
        <w:tc>
          <w:tcPr/>
          <w:p>
            <w:pPr>
              <w:pStyle w:val="Compact"/>
              <w:jc w:val="left"/>
            </w:pPr>
            <w:r>
              <w:t xml:space="preserve">Reported Separately</w:t>
            </w:r>
          </w:p>
        </w:tc>
      </w:tr>
      <w:tr>
        <w:tc>
          <w:tcPr/>
          <w:p>
            <w:pPr>
              <w:pStyle w:val="Compact"/>
              <w:jc w:val="left"/>
            </w:pPr>
            <w:r>
              <w:rPr>
                <w:bCs/>
                <w:b/>
              </w:rPr>
              <w:t xml:space="preserve">Biogenic Carbon Removals</w:t>
            </w:r>
          </w:p>
        </w:tc>
        <w:tc>
          <w:tcPr/>
          <w:p>
            <w:pPr>
              <w:pStyle w:val="Compact"/>
              <w:jc w:val="left"/>
            </w:pPr>
            <w:r>
              <w:t xml:space="preserve">Long-term woody biomass accumulation</w:t>
            </w:r>
          </w:p>
        </w:tc>
        <w:tc>
          <w:tcPr/>
          <w:p>
            <w:pPr>
              <w:pStyle w:val="Compact"/>
              <w:jc w:val="left"/>
            </w:pPr>
            <w:r>
              <w:t xml:space="preserve">-0.1140</w:t>
            </w:r>
          </w:p>
        </w:tc>
        <w:tc>
          <w:tcPr/>
          <w:p>
            <w:pPr>
              <w:pStyle w:val="Compact"/>
              <w:jc w:val="left"/>
            </w:pPr>
            <w:r>
              <w:t xml:space="preserve">Permanence Criteria Met</w:t>
            </w:r>
          </w:p>
        </w:tc>
      </w:tr>
      <w:tr>
        <w:tc>
          <w:tcPr/>
          <w:p>
            <w:pPr>
              <w:pStyle w:val="Compact"/>
              <w:jc w:val="left"/>
            </w:pPr>
            <w:r>
              <w:rPr>
                <w:bCs/>
                <w:b/>
              </w:rPr>
              <w:t xml:space="preserve">Non-Biogenic / Fossil Total</w:t>
            </w:r>
          </w:p>
        </w:tc>
        <w:tc>
          <w:tcPr/>
          <w:p>
            <w:pPr>
              <w:pStyle w:val="Compact"/>
              <w:jc w:val="left"/>
            </w:pPr>
            <w:r>
              <w:t xml:space="preserve">Petrochemicals, Electricity, Transport</w:t>
            </w:r>
          </w:p>
        </w:tc>
        <w:tc>
          <w:tcPr/>
          <w:p>
            <w:pPr>
              <w:pStyle w:val="Compact"/>
              <w:jc w:val="left"/>
            </w:pPr>
            <w:r>
              <w:t xml:space="preserve">3.3980</w:t>
            </w:r>
          </w:p>
        </w:tc>
        <w:tc>
          <w:tcPr/>
          <w:p>
            <w:pPr>
              <w:pStyle w:val="Compact"/>
              <w:jc w:val="left"/>
            </w:pPr>
            <w:r>
              <w:t xml:space="preserve">Standard Scope 1-3</w:t>
            </w:r>
          </w:p>
        </w:tc>
      </w:tr>
      <w:tr>
        <w:tc>
          <w:tcPr/>
          <w:p>
            <w:pPr>
              <w:pStyle w:val="Compact"/>
              <w:jc w:val="left"/>
            </w:pPr>
            <w:r>
              <w:rPr>
                <w:bCs/>
                <w:b/>
              </w:rPr>
              <w:t xml:space="preserve">Net Consolidated PCF</w:t>
            </w:r>
          </w:p>
        </w:tc>
        <w:tc>
          <w:tcPr/>
          <w:p>
            <w:pPr>
              <w:pStyle w:val="Compact"/>
              <w:jc w:val="left"/>
            </w:pPr>
            <w:r>
              <w:t xml:space="preserve">Cradle-to-Factory-Gate Aggregate</w:t>
            </w:r>
          </w:p>
        </w:tc>
        <w:tc>
          <w:tcPr/>
          <w:p>
            <w:pPr>
              <w:pStyle w:val="Compact"/>
              <w:jc w:val="left"/>
            </w:pPr>
            <w:r>
              <w:rPr>
                <w:bCs/>
                <w:b/>
              </w:rPr>
              <w:t xml:space="preserve">3.4240</w:t>
            </w:r>
          </w:p>
        </w:tc>
        <w:tc>
          <w:tcPr/>
          <w:p>
            <w:pPr>
              <w:pStyle w:val="Compact"/>
              <w:jc w:val="left"/>
            </w:pPr>
            <w:r>
              <w:t xml:space="preserve">Compliant</w:t>
            </w:r>
          </w:p>
        </w:tc>
      </w:tr>
    </w:tbl>
    <w:p>
      <w:r>
        <w:pict>
          <v:rect style="width:0;height:1.5pt" o:hralign="center" o:hrstd="t" o:hr="t"/>
        </w:pict>
      </w:r>
    </w:p>
    <w:bookmarkEnd w:id="26"/>
    <w:bookmarkEnd w:id="27"/>
    <w:bookmarkStart w:id="32" w:name="X87a725eea8c752d0ea9ce0aaa1e6e43b57206ec"/>
    <w:p>
      <w:pPr>
        <w:pStyle w:val="Heading1"/>
      </w:pPr>
      <w:r>
        <w:t xml:space="preserve">Step 5: Hotspot Analysis, Data Quality &amp; Sensitivity</w:t>
      </w:r>
    </w:p>
    <w:bookmarkStart w:id="28" w:name="primary-emissions-hotspots"/>
    <w:p>
      <w:pPr>
        <w:pStyle w:val="Heading2"/>
      </w:pPr>
      <w:r>
        <w:t xml:space="preserve">1. Primary Emissions Hotspots</w:t>
      </w:r>
    </w:p>
    <w:p>
      <w:pPr>
        <w:numPr>
          <w:ilvl w:val="0"/>
          <w:numId w:val="1003"/>
        </w:numPr>
        <w:pStyle w:val="Compact"/>
      </w:pPr>
      <w:r>
        <w:rPr>
          <w:bCs/>
          <w:b/>
        </w:rPr>
        <w:t xml:space="preserve">SBR Monomer Polymerization (25.2%):</w:t>
      </w:r>
      <w:r>
        <w:t xml:space="preserve"> </w:t>
      </w:r>
      <w:r>
        <w:t xml:space="preserve">Styrene and butadiene synthesis via steam cracking of naphtha is an extremely energy-intensive petrochemical conversion. Decarbonization requires bio-based or recycled butadiene.</w:t>
      </w:r>
    </w:p>
    <w:p>
      <w:pPr>
        <w:numPr>
          <w:ilvl w:val="0"/>
          <w:numId w:val="1003"/>
        </w:numPr>
        <w:pStyle w:val="Compact"/>
      </w:pPr>
      <w:r>
        <w:rPr>
          <w:bCs/>
          <w:b/>
        </w:rPr>
        <w:t xml:space="preserve">Carbon Black Feedstock Combustion (18.8%):</w:t>
      </w:r>
      <w:r>
        <w:t xml:space="preserve"> </w:t>
      </w:r>
      <w:r>
        <w:t xml:space="preserve">The furnace black process relies on thermal cracking of aromatic heavy oils, releasing substantial fossil CO</w:t>
      </w:r>
      <w:r>
        <w:rPr>
          <w:vertAlign w:val="subscript"/>
        </w:rPr>
        <w:t xml:space="preserve">2</w:t>
      </w:r>
      <w:r>
        <w:t xml:space="preserve">. Recovered Carbon Black (rCB) from pyrolysis offers a 70% potential reduction.</w:t>
      </w:r>
    </w:p>
    <w:p>
      <w:pPr>
        <w:numPr>
          <w:ilvl w:val="0"/>
          <w:numId w:val="1003"/>
        </w:numPr>
        <w:pStyle w:val="Compact"/>
      </w:pPr>
      <w:r>
        <w:rPr>
          <w:bCs/>
          <w:b/>
        </w:rPr>
        <w:t xml:space="preserve">Natural Rubber Agro-Processing &amp; dLUC (18.4%):</w:t>
      </w:r>
      <w:r>
        <w:t xml:space="preserve"> </w:t>
      </w:r>
      <w:r>
        <w:t xml:space="preserve">While plantation biomass sequesters atmospheric carbon, historical land-use conversions in Southeast Asia impose an amortized penalty (+0.098 kg CO</w:t>
      </w:r>
      <w:r>
        <w:rPr>
          <w:vertAlign w:val="subscript"/>
        </w:rPr>
        <w:t xml:space="preserve">2</w:t>
      </w:r>
      <w:r>
        <w:t xml:space="preserve">e). Deforestation-free certification eliminates this penalty.</w:t>
      </w:r>
    </w:p>
    <w:p>
      <w:pPr>
        <w:numPr>
          <w:ilvl w:val="0"/>
          <w:numId w:val="1003"/>
        </w:numPr>
        <w:pStyle w:val="Compact"/>
      </w:pPr>
      <w:r>
        <w:rPr>
          <w:bCs/>
          <w:b/>
        </w:rPr>
        <w:t xml:space="preserve">Compounding Facility Electricity (13.7%):</w:t>
      </w:r>
      <w:r>
        <w:t xml:space="preserve"> </w:t>
      </w:r>
      <w:r>
        <w:t xml:space="preserve">Heavy motorized shear inside Banbury mixers and two-roll open mills consumes 0.82 kWh/kg. Switching to certified onsite solar PV or green power purchasing agreements (PPAs) under Scope 2 market-based accounting would reduce the PCF by 0.467 kg CO</w:t>
      </w:r>
      <w:r>
        <w:rPr>
          <w:vertAlign w:val="subscript"/>
        </w:rPr>
        <w:t xml:space="preserve">2</w:t>
      </w:r>
      <w:r>
        <w:t xml:space="preserve">e (a 13.6% reduction).</w:t>
      </w:r>
    </w:p>
    <w:bookmarkEnd w:id="28"/>
    <w:bookmarkStart w:id="29" w:name="X6f84c1f6044f2a6f0228c9cfef79e9a5e9684ec"/>
    <w:p>
      <w:pPr>
        <w:pStyle w:val="Heading2"/>
      </w:pPr>
      <w:r>
        <w:t xml:space="preserve">2. Scope 3 Completeness Verification (≥ 95% Coverage)</w:t>
      </w:r>
    </w:p>
    <w:p>
      <w:pPr>
        <w:pStyle w:val="FirstParagraph"/>
      </w:pPr>
      <w:r>
        <w:t xml:space="preserve">Under the 2026 GHG Protocol Scope 3 mandatory coverage thresholds, all upstream activities must represent at least 95% of estimated life cycle emissions. In this inventory:</w:t>
      </w:r>
    </w:p>
    <w:p>
      <w:pPr>
        <w:numPr>
          <w:ilvl w:val="0"/>
          <w:numId w:val="1004"/>
        </w:numPr>
        <w:pStyle w:val="Compact"/>
      </w:pPr>
      <w:r>
        <w:rPr>
          <w:bCs/>
          <w:b/>
        </w:rPr>
        <w:t xml:space="preserve">Total Estimated Value Chain Inflow:</w:t>
      </w:r>
      <w:r>
        <w:t xml:space="preserve"> </w:t>
      </w:r>
      <w:r>
        <w:t xml:space="preserve">2.553 kg CO</w:t>
      </w:r>
      <w:r>
        <w:rPr>
          <w:vertAlign w:val="subscript"/>
        </w:rPr>
        <w:t xml:space="preserve">2</w:t>
      </w:r>
      <w:r>
        <w:t xml:space="preserve">e (Scope 3 + LSR upstream).</w:t>
      </w:r>
    </w:p>
    <w:p>
      <w:pPr>
        <w:numPr>
          <w:ilvl w:val="0"/>
          <w:numId w:val="1004"/>
        </w:numPr>
        <w:pStyle w:val="Compact"/>
      </w:pPr>
      <w:r>
        <w:rPr>
          <w:bCs/>
          <w:b/>
        </w:rPr>
        <w:t xml:space="preserve">Quantified Inputs:</w:t>
      </w:r>
      <w:r>
        <w:t xml:space="preserve"> </w:t>
      </w:r>
      <w:r>
        <w:t xml:space="preserve">2.512 kg CO</w:t>
      </w:r>
      <w:r>
        <w:rPr>
          <w:vertAlign w:val="subscript"/>
        </w:rPr>
        <w:t xml:space="preserve">2</w:t>
      </w:r>
      <w:r>
        <w:t xml:space="preserve">e.</w:t>
      </w:r>
    </w:p>
    <w:p>
      <w:pPr>
        <w:numPr>
          <w:ilvl w:val="0"/>
          <w:numId w:val="1004"/>
        </w:numPr>
        <w:pStyle w:val="Compact"/>
      </w:pPr>
      <w:r>
        <w:rPr>
          <w:bCs/>
          <w:b/>
        </w:rPr>
        <w:t xml:space="preserve">Achieved Coverage:</w:t>
      </w:r>
      <w:r>
        <w:t xml:space="preserve"> </w:t>
      </w:r>
      <w:r>
        <w:rPr>
          <w:bCs/>
          <w:b/>
        </w:rPr>
        <w:t xml:space="preserve">98.4%</w:t>
      </w:r>
      <w:r>
        <w:t xml:space="preserve">. Minor omitted cut-offs include facility packaging pallet metal nails, water treatment chemicals, and administrative waste (&lt; 0.04 kg CO</w:t>
      </w:r>
      <w:r>
        <w:rPr>
          <w:vertAlign w:val="subscript"/>
        </w:rPr>
        <w:t xml:space="preserve">2</w:t>
      </w:r>
      <w:r>
        <w:t xml:space="preserve">e aggregate).</w:t>
      </w:r>
    </w:p>
    <w:bookmarkEnd w:id="29"/>
    <w:bookmarkStart w:id="30" w:name="Xfc06c687bca6fd8a706a7879f97a26b54bd99ba"/>
    <w:p>
      <w:pPr>
        <w:pStyle w:val="Heading2"/>
      </w:pPr>
      <w:r>
        <w:t xml:space="preserve">3. Data Quality &amp; Uncertainty Assessment (Pedigree Matrix)</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Data Flow Category</w:t>
            </w:r>
          </w:p>
        </w:tc>
        <w:tc>
          <w:tcPr/>
          <w:p>
            <w:pPr>
              <w:pStyle w:val="Compact"/>
              <w:jc w:val="left"/>
            </w:pPr>
            <w:r>
              <w:t xml:space="preserve">Data Type</w:t>
            </w:r>
          </w:p>
        </w:tc>
        <w:tc>
          <w:tcPr/>
          <w:p>
            <w:pPr>
              <w:pStyle w:val="Compact"/>
              <w:jc w:val="left"/>
            </w:pPr>
            <w:r>
              <w:t xml:space="preserve">Geographical Fit</w:t>
            </w:r>
          </w:p>
        </w:tc>
        <w:tc>
          <w:tcPr/>
          <w:p>
            <w:pPr>
              <w:pStyle w:val="Compact"/>
              <w:jc w:val="left"/>
            </w:pPr>
            <w:r>
              <w:t xml:space="preserve">Temporal Fit</w:t>
            </w:r>
          </w:p>
        </w:tc>
        <w:tc>
          <w:tcPr/>
          <w:p>
            <w:pPr>
              <w:pStyle w:val="Compact"/>
              <w:jc w:val="left"/>
            </w:pPr>
            <w:r>
              <w:t xml:space="preserve">Uncertainty (± %)</w:t>
            </w:r>
          </w:p>
        </w:tc>
      </w:tr>
      <w:tr>
        <w:tc>
          <w:tcPr/>
          <w:p>
            <w:pPr>
              <w:pStyle w:val="Compact"/>
              <w:jc w:val="left"/>
            </w:pPr>
            <w:r>
              <w:rPr>
                <w:bCs/>
                <w:b/>
              </w:rPr>
              <w:t xml:space="preserve">Tier 1 Electricity &amp; Gas</w:t>
            </w:r>
          </w:p>
        </w:tc>
        <w:tc>
          <w:tcPr/>
          <w:p>
            <w:pPr>
              <w:pStyle w:val="Compact"/>
              <w:jc w:val="left"/>
            </w:pPr>
            <w:r>
              <w:t xml:space="preserve">Primary Metered</w:t>
            </w:r>
          </w:p>
        </w:tc>
        <w:tc>
          <w:tcPr/>
          <w:p>
            <w:pPr>
              <w:pStyle w:val="Compact"/>
              <w:jc w:val="left"/>
            </w:pPr>
            <w:r>
              <w:t xml:space="preserve">Jiangsu, China (Exact)</w:t>
            </w:r>
          </w:p>
        </w:tc>
        <w:tc>
          <w:tcPr/>
          <w:p>
            <w:pPr>
              <w:pStyle w:val="Compact"/>
              <w:jc w:val="left"/>
            </w:pPr>
            <w:r>
              <w:t xml:space="preserve">2025/2026 (Current)</w:t>
            </w:r>
          </w:p>
        </w:tc>
        <w:tc>
          <w:tcPr/>
          <w:p>
            <w:pPr>
              <w:pStyle w:val="Compact"/>
              <w:jc w:val="left"/>
            </w:pPr>
            <w:r>
              <w:t xml:space="preserve">± 2.5%</w:t>
            </w:r>
          </w:p>
        </w:tc>
      </w:tr>
      <w:tr>
        <w:tc>
          <w:tcPr/>
          <w:p>
            <w:pPr>
              <w:pStyle w:val="Compact"/>
              <w:jc w:val="left"/>
            </w:pPr>
            <w:r>
              <w:rPr>
                <w:bCs/>
                <w:b/>
              </w:rPr>
              <w:t xml:space="preserve">Natural Rubber (TSR20)</w:t>
            </w:r>
          </w:p>
        </w:tc>
        <w:tc>
          <w:tcPr/>
          <w:p>
            <w:pPr>
              <w:pStyle w:val="Compact"/>
              <w:jc w:val="left"/>
            </w:pPr>
            <w:r>
              <w:t xml:space="preserve">Primary / Secondary</w:t>
            </w:r>
          </w:p>
        </w:tc>
        <w:tc>
          <w:tcPr/>
          <w:p>
            <w:pPr>
              <w:pStyle w:val="Compact"/>
              <w:jc w:val="left"/>
            </w:pPr>
            <w:r>
              <w:t xml:space="preserve">Thailand/Vietnam</w:t>
            </w:r>
          </w:p>
        </w:tc>
        <w:tc>
          <w:tcPr/>
          <w:p>
            <w:pPr>
              <w:pStyle w:val="Compact"/>
              <w:jc w:val="left"/>
            </w:pPr>
            <w:r>
              <w:t xml:space="preserve">2024-2025</w:t>
            </w:r>
          </w:p>
        </w:tc>
        <w:tc>
          <w:tcPr/>
          <w:p>
            <w:pPr>
              <w:pStyle w:val="Compact"/>
              <w:jc w:val="left"/>
            </w:pPr>
            <w:r>
              <w:t xml:space="preserve">± 8.0%</w:t>
            </w:r>
          </w:p>
        </w:tc>
      </w:tr>
      <w:tr>
        <w:tc>
          <w:tcPr/>
          <w:p>
            <w:pPr>
              <w:pStyle w:val="Compact"/>
              <w:jc w:val="left"/>
            </w:pPr>
            <w:r>
              <w:rPr>
                <w:bCs/>
                <w:b/>
              </w:rPr>
              <w:t xml:space="preserve">Synthetic Elastomer (SBR)</w:t>
            </w:r>
          </w:p>
        </w:tc>
        <w:tc>
          <w:tcPr/>
          <w:p>
            <w:pPr>
              <w:pStyle w:val="Compact"/>
              <w:jc w:val="left"/>
            </w:pPr>
            <w:r>
              <w:t xml:space="preserve">Secondary (Ecoinvent)</w:t>
            </w:r>
          </w:p>
        </w:tc>
        <w:tc>
          <w:tcPr/>
          <w:p>
            <w:pPr>
              <w:pStyle w:val="Compact"/>
              <w:jc w:val="left"/>
            </w:pPr>
            <w:r>
              <w:t xml:space="preserve">East Asia Regional</w:t>
            </w:r>
          </w:p>
        </w:tc>
        <w:tc>
          <w:tcPr/>
          <w:p>
            <w:pPr>
              <w:pStyle w:val="Compact"/>
              <w:jc w:val="left"/>
            </w:pPr>
            <w:r>
              <w:t xml:space="preserve">2023-2025</w:t>
            </w:r>
          </w:p>
        </w:tc>
        <w:tc>
          <w:tcPr/>
          <w:p>
            <w:pPr>
              <w:pStyle w:val="Compact"/>
              <w:jc w:val="left"/>
            </w:pPr>
            <w:r>
              <w:t xml:space="preserve">± 6.5%</w:t>
            </w:r>
          </w:p>
        </w:tc>
      </w:tr>
      <w:tr>
        <w:tc>
          <w:tcPr/>
          <w:p>
            <w:pPr>
              <w:pStyle w:val="Compact"/>
              <w:jc w:val="left"/>
            </w:pPr>
            <w:r>
              <w:rPr>
                <w:bCs/>
                <w:b/>
              </w:rPr>
              <w:t xml:space="preserve">Carbon Black (N330)</w:t>
            </w:r>
          </w:p>
        </w:tc>
        <w:tc>
          <w:tcPr/>
          <w:p>
            <w:pPr>
              <w:pStyle w:val="Compact"/>
              <w:jc w:val="left"/>
            </w:pPr>
            <w:r>
              <w:t xml:space="preserve">Secondary (Industry)</w:t>
            </w:r>
          </w:p>
        </w:tc>
        <w:tc>
          <w:tcPr/>
          <w:p>
            <w:pPr>
              <w:pStyle w:val="Compact"/>
              <w:jc w:val="left"/>
            </w:pPr>
            <w:r>
              <w:t xml:space="preserve">China Domestic</w:t>
            </w:r>
          </w:p>
        </w:tc>
        <w:tc>
          <w:tcPr/>
          <w:p>
            <w:pPr>
              <w:pStyle w:val="Compact"/>
              <w:jc w:val="left"/>
            </w:pPr>
            <w:r>
              <w:t xml:space="preserve">2024</w:t>
            </w:r>
          </w:p>
        </w:tc>
        <w:tc>
          <w:tcPr/>
          <w:p>
            <w:pPr>
              <w:pStyle w:val="Compact"/>
              <w:jc w:val="left"/>
            </w:pPr>
            <w:r>
              <w:t xml:space="preserve">± 5.0%</w:t>
            </w:r>
          </w:p>
        </w:tc>
      </w:tr>
      <w:tr>
        <w:tc>
          <w:tcPr/>
          <w:p>
            <w:pPr>
              <w:pStyle w:val="Compact"/>
              <w:jc w:val="left"/>
            </w:pPr>
            <w:r>
              <w:rPr>
                <w:bCs/>
                <w:b/>
              </w:rPr>
              <w:t xml:space="preserve">Freight Transport</w:t>
            </w:r>
          </w:p>
        </w:tc>
        <w:tc>
          <w:tcPr/>
          <w:p>
            <w:pPr>
              <w:pStyle w:val="Compact"/>
              <w:jc w:val="left"/>
            </w:pPr>
            <w:r>
              <w:t xml:space="preserve">Primary Logbooks</w:t>
            </w:r>
          </w:p>
        </w:tc>
        <w:tc>
          <w:tcPr/>
          <w:p>
            <w:pPr>
              <w:pStyle w:val="Compact"/>
              <w:jc w:val="left"/>
            </w:pPr>
            <w:r>
              <w:t xml:space="preserve">Global Maritime / CN Road</w:t>
            </w:r>
          </w:p>
        </w:tc>
        <w:tc>
          <w:tcPr/>
          <w:p>
            <w:pPr>
              <w:pStyle w:val="Compact"/>
              <w:jc w:val="left"/>
            </w:pPr>
            <w:r>
              <w:t xml:space="preserve">2025</w:t>
            </w:r>
          </w:p>
        </w:tc>
        <w:tc>
          <w:tcPr/>
          <w:p>
            <w:pPr>
              <w:pStyle w:val="Compact"/>
              <w:jc w:val="left"/>
            </w:pPr>
            <w:r>
              <w:t xml:space="preserve">± 7.0%</w:t>
            </w:r>
          </w:p>
        </w:tc>
      </w:tr>
    </w:tbl>
    <w:bookmarkEnd w:id="30"/>
    <w:bookmarkStart w:id="31" w:name="Xdf049c7214b4c91ef94881192f4f468095d539f"/>
    <w:p>
      <w:pPr>
        <w:pStyle w:val="Heading2"/>
      </w:pPr>
      <w:r>
        <w:t xml:space="preserve">4. Decarbonization Roadmap &amp; Mitigation Recommendations</w:t>
      </w:r>
    </w:p>
    <w:p>
      <w:pPr>
        <w:numPr>
          <w:ilvl w:val="0"/>
          <w:numId w:val="1005"/>
        </w:numPr>
        <w:pStyle w:val="Compact"/>
      </w:pPr>
      <w:r>
        <w:rPr>
          <w:bCs/>
          <w:b/>
        </w:rPr>
        <w:t xml:space="preserve">Scope 2 Green Power Purchasing:</w:t>
      </w:r>
      <w:r>
        <w:t xml:space="preserve"> </w:t>
      </w:r>
      <w:r>
        <w:t xml:space="preserve">Procure 100% renewable electricity certificates (I-RECs) for the compounding plant. This will immediately reduce Scope 2 market-based emissions from 0.467 kg CO</w:t>
      </w:r>
      <w:r>
        <w:rPr>
          <w:vertAlign w:val="subscript"/>
        </w:rPr>
        <w:t xml:space="preserve">2</w:t>
      </w:r>
      <w:r>
        <w:t xml:space="preserve">e to 0.012 kg CO</w:t>
      </w:r>
      <w:r>
        <w:rPr>
          <w:vertAlign w:val="subscript"/>
        </w:rPr>
        <w:t xml:space="preserve">2</w:t>
      </w:r>
      <w:r>
        <w:t xml:space="preserve">e per functional unit.</w:t>
      </w:r>
    </w:p>
    <w:p>
      <w:pPr>
        <w:numPr>
          <w:ilvl w:val="0"/>
          <w:numId w:val="1005"/>
        </w:numPr>
        <w:pStyle w:val="Compact"/>
      </w:pPr>
      <w:r>
        <w:rPr>
          <w:bCs/>
          <w:b/>
        </w:rPr>
        <w:t xml:space="preserve">Integration of Recovered Carbon Black (rCB):</w:t>
      </w:r>
      <w:r>
        <w:t xml:space="preserve"> </w:t>
      </w:r>
      <w:r>
        <w:t xml:space="preserve">Replace 30% of virgin N330 furnace black with post-consumer tire pyrolysis rCB, avoiding 0.135 kg CO</w:t>
      </w:r>
      <w:r>
        <w:rPr>
          <w:vertAlign w:val="subscript"/>
        </w:rPr>
        <w:t xml:space="preserve">2</w:t>
      </w:r>
      <w:r>
        <w:t xml:space="preserve">e/kg product.</w:t>
      </w:r>
    </w:p>
    <w:p>
      <w:pPr>
        <w:numPr>
          <w:ilvl w:val="0"/>
          <w:numId w:val="1005"/>
        </w:numPr>
        <w:pStyle w:val="Compact"/>
      </w:pPr>
      <w:r>
        <w:rPr>
          <w:bCs/>
          <w:b/>
        </w:rPr>
        <w:t xml:space="preserve">Deforestation-Free Certified Natural Rubber:</w:t>
      </w:r>
      <w:r>
        <w:t xml:space="preserve"> </w:t>
      </w:r>
      <w:r>
        <w:t xml:space="preserve">Enforce GPS-polygon tracking verified under EU Deforestation Regulation (EUDR) and 2026 LSR standards to eliminate the dLUC penalty (+0.098 kg CO</w:t>
      </w:r>
      <w:r>
        <w:rPr>
          <w:vertAlign w:val="subscript"/>
        </w:rPr>
        <w:t xml:space="preserve">2</w:t>
      </w:r>
      <w:r>
        <w:t xml:space="preserve">e).</w:t>
      </w:r>
    </w:p>
    <w:p>
      <w:pPr>
        <w:numPr>
          <w:ilvl w:val="0"/>
          <w:numId w:val="1005"/>
        </w:numPr>
        <w:pStyle w:val="Compact"/>
      </w:pPr>
      <w:r>
        <w:rPr>
          <w:bCs/>
          <w:b/>
        </w:rPr>
        <w:t xml:space="preserve">Bio-attributed SBR Polymers:</w:t>
      </w:r>
      <w:r>
        <w:t xml:space="preserve"> </w:t>
      </w:r>
      <w:r>
        <w:t xml:space="preserve">Substitute petrochemical butadiene with second-generation bio-naphtha mass-balanced alternatives, reducing polymer footprint by up to 45%.</w:t>
      </w:r>
    </w:p>
    <w:p>
      <w:pPr>
        <w:pStyle w:val="FirstParagraph"/>
      </w:pPr>
      <w:r>
        <w:t xml:space="preserve">businessanalytiq.com • Product Sustainability Analytics</w:t>
      </w:r>
      <w:r>
        <w:t xml:space="preserve"> </w:t>
      </w:r>
      <w:r>
        <w:t xml:space="preserve">GHG Protocol Compliant • 2026 LSR Edition</w:t>
      </w:r>
      <w:r>
        <w:t xml:space="preserve"> </w:t>
      </w:r>
      <w:r>
        <w:t xml:space="preserve">Confidential -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Rubber | businessanalytiq.com</dc:title>
  <dc:creator/>
  <dc:description>Comprehensive Product Carbon Footprint (PCF) Report for 1.0 kg of Technical Rubber manufactured in China, compliant with the GHG Protocol Product Standard and the 2026 Land Sector and Removals (LSR) Standard.</dc:description>
  <dc:language>en</dc:language>
  <cp:keywords/>
  <dcterms:created xsi:type="dcterms:W3CDTF">2026-10-07T15:01:37Z</dcterms:created>
  <dcterms:modified xsi:type="dcterms:W3CDTF">2026-10-07T15:01:37Z</dcterms:modified>
</cp:coreProperties>
</file>

<file path=docProps/custom.xml><?xml version="1.0" encoding="utf-8"?>
<Properties xmlns="http://schemas.openxmlformats.org/officeDocument/2006/custom-properties" xmlns:vt="http://schemas.openxmlformats.org/officeDocument/2006/docPropsVTypes"/>
</file>