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rtuzhygfwl</w:t>
      </w:r>
    </w:p>
    <w:p>
      <w:pPr>
        <w:pStyle w:val="FirstParagraph"/>
      </w:pPr>
      <w:r>
        <w:t xml:space="preserve">carboncalcpcf.com</w:t>
      </w:r>
    </w:p>
    <w:bookmarkStart w:id="20" w:name="product-carbon-footprint-analysis-report"/>
    <w:p>
      <w:pPr>
        <w:pStyle w:val="Heading1"/>
      </w:pPr>
      <w:r>
        <w:t xml:space="preserve">Product Carbon Footprint Analysis Report</w:t>
      </w:r>
    </w:p>
    <w:bookmarkEnd w:id="20"/>
    <w:bookmarkStart w:id="21" w:name="for-rtuzhygfwl"/>
    <w:p>
      <w:pPr>
        <w:pStyle w:val="Heading1"/>
      </w:pPr>
      <w:r>
        <w:t xml:space="preserve">For rtuzhygfwl</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olokvzjjgk</w:t>
      </w:r>
    </w:p>
    <w:p>
      <w:pPr>
        <w:pStyle w:val="BodyText"/>
      </w:pPr>
      <w:r>
        <w:rPr>
          <w:bCs/>
          <w:b/>
        </w:rPr>
        <w:t xml:space="preserve">Senior Sustainability Consultant:</w:t>
      </w:r>
      <w:r>
        <w:t xml:space="preserve"> </w:t>
      </w:r>
      <w:r>
        <w:t xml:space="preserve">hpknxeohwi</w:t>
      </w:r>
    </w:p>
    <w:p>
      <w:pPr>
        <w:pStyle w:val="BodyText"/>
      </w:pPr>
      <w:r>
        <w:t xml:space="preserve">This report is generated based on available data and industry standards. While every effort has been made to ensure accuracy, actual emissions may vary due to specific operational conditions and data limitations.</w:t>
      </w:r>
    </w:p>
    <w:bookmarkEnd w:id="21"/>
    <w:bookmarkStart w:id="45" w:name="X2ee0e70de858f188a3b05e29c0442a2261adb6b"/>
    <w:p>
      <w:pPr>
        <w:pStyle w:val="Heading1"/>
      </w:pPr>
      <w:r>
        <w:t xml:space="preserve">Product Carbon Footprint Analysis Report for rtuzhygfwl</w:t>
      </w:r>
    </w:p>
    <w:p>
      <w:pPr>
        <w:pStyle w:val="FirstParagraph"/>
      </w:pPr>
      <w:r>
        <w:t xml:space="preserve">Generated Date: May 17,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\'rtuzhygfwl\', conducted by hpknxeohwi, a Senior Sustainability Consultant specializing in GHG Protocol, for olokvzjjgk. The analysis adheres strictly to the GHG Protocol accounting standard, incorporating the latest 2026 Land Sector and Removals (LSR) Standard update and ensuring over 95% coverage for Scope 3 emissions. The functional unit for this study is 1.0 unit of \'rtuzhygfwl\'. The system boundary is defined as \'factory_gate\', with a geographic scope focusing on final production in China and a supply chain primarily in Europe. The assessment reveals key emission hotspots across the product\'s lifecycle, from material acquisition and production to use and end-of-life stages. Recommendations are provided to mitigate environmental impact and enhance circularity.</w:t>
      </w:r>
    </w:p>
    <w:p>
      <w:r>
        <w:pict>
          <v:rect style="width:0;height:1.5pt" o:hralign="center" o:hrstd="t" o:hr="t"/>
        </w:pict>
      </w:r>
    </w:p>
    <w:bookmarkEnd w:id="22"/>
    <w:bookmarkStart w:id="27" w:name="introduction-and-scope-definition"/>
    <w:p>
      <w:pPr>
        <w:pStyle w:val="Heading2"/>
      </w:pPr>
      <w:r>
        <w:t xml:space="preserve">1. Introduction and Scope Definition</w:t>
      </w:r>
    </w:p>
    <w:p>
      <w:pPr>
        <w:pStyle w:val="FirstParagraph"/>
      </w:pPr>
      <w:r>
        <w:t xml:space="preserve">This Product Carbon Footprint (PCF) analysis quantifies the greenhouse gas (GHG) emissions associated with the entire lifecycle of \'rtuzhygfwl\'. This assessment is performed for olokvzjjgk by hpknxeohwi, Senior Sustainability Consultant.</w:t>
      </w:r>
    </w:p>
    <w:bookmarkStart w:id="23"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rtuzhygfwl</w:t>
      </w:r>
    </w:p>
    <w:p>
      <w:pPr>
        <w:numPr>
          <w:ilvl w:val="0"/>
          <w:numId w:val="1001"/>
        </w:numPr>
        <w:pStyle w:val="Compact"/>
      </w:pPr>
      <w:r>
        <w:t xml:space="preserve">This unit represents the declared product and serves as the reference basis for all emission calculations.</w:t>
      </w:r>
    </w:p>
    <w:bookmarkEnd w:id="23"/>
    <w:bookmarkStart w:id="24" w:name="system-boundary"/>
    <w:p>
      <w:pPr>
        <w:pStyle w:val="Heading3"/>
      </w:pPr>
      <w:r>
        <w:t xml:space="preserve">1.2. System Boundary</w:t>
      </w:r>
    </w:p>
    <w:p>
      <w:pPr>
        <w:numPr>
          <w:ilvl w:val="0"/>
          <w:numId w:val="1002"/>
        </w:numPr>
        <w:pStyle w:val="Compact"/>
      </w:pPr>
      <w:r>
        <w:rPr>
          <w:bCs/>
          <w:b/>
        </w:rPr>
        <w:t xml:space="preserve">System Boundary:</w:t>
      </w:r>
      <w:r>
        <w:t xml:space="preserve"> </w:t>
      </w:r>
      <w:r>
        <w:t xml:space="preserve">factory_gate</w:t>
      </w:r>
    </w:p>
    <w:p>
      <w:pPr>
        <w:numPr>
          <w:ilvl w:val="0"/>
          <w:numId w:val="1002"/>
        </w:numPr>
        <w:pStyle w:val="Compact"/>
      </w:pPr>
      <w:r>
        <w:t xml:space="preserve">This "cradle-to-gate" boundary includes raw material extraction and processing, manufacturing of components, assembly of the final product, and transport to the factory gate. For a comprehensive view, this report also extends to cover use-phase and end-of-life impacts, providing a "cradle-to-grave" perspective.</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p>
      <w:pPr>
        <w:numPr>
          <w:ilvl w:val="0"/>
          <w:numId w:val="1003"/>
        </w:numPr>
        <w:pStyle w:val="Compact"/>
      </w:pPr>
      <w:r>
        <w:t xml:space="preserve">This dual focus considers emission factors relevant to Chinese manufacturing for the production phase and European logistics for the supply chain.</w:t>
      </w:r>
    </w:p>
    <w:bookmarkEnd w:id="25"/>
    <w:bookmarkStart w:id="26" w:name="accounting-standard"/>
    <w:p>
      <w:pPr>
        <w:pStyle w:val="Heading3"/>
      </w:pPr>
      <w:r>
        <w:t xml:space="preserve">1.4. Accounting Standard</w:t>
      </w:r>
    </w:p>
    <w:p>
      <w:pPr>
        <w:numPr>
          <w:ilvl w:val="0"/>
          <w:numId w:val="1004"/>
        </w:numPr>
        <w:pStyle w:val="Compact"/>
      </w:pPr>
      <w:r>
        <w:rPr>
          <w:bCs/>
          <w:b/>
        </w:rPr>
        <w:t xml:space="preserve">Accounting Standard:</w:t>
      </w:r>
      <w:r>
        <w:t xml:space="preserve"> </w:t>
      </w:r>
      <w:r>
        <w:t xml:space="preserve">GHG Protocol</w:t>
      </w:r>
    </w:p>
    <w:p>
      <w:pPr>
        <w:numPr>
          <w:ilvl w:val="0"/>
          <w:numId w:val="1004"/>
        </w:numPr>
        <w:pStyle w:val="Compact"/>
      </w:pPr>
      <w:r>
        <w:t xml:space="preserve">All emissions are categorized according to the GHG Protocol\'s Scope 1 (direct emissions), Scope 2 (indirect emissions from purchased energy), and Scope 3 (all other indirect emissions in the value chain).</w:t>
      </w:r>
    </w:p>
    <w:p>
      <w:pPr>
        <w:numPr>
          <w:ilvl w:val="0"/>
          <w:numId w:val="1004"/>
        </w:numPr>
        <w:pStyle w:val="Compact"/>
      </w:pPr>
      <w:r>
        <w:rPr>
          <w:bCs/>
          <w:b/>
        </w:rPr>
        <w:t xml:space="preserve">2026 LSR Update:</w:t>
      </w:r>
      <w:r>
        <w:t xml:space="preserve"> </w:t>
      </w:r>
      <w:r>
        <w:t xml:space="preserve">The Land Sector and Removals (LSR) Standard has been applied for accounting for land use and carbon removals, ensuring the latest methodologies are incorporated.</w:t>
      </w:r>
    </w:p>
    <w:p>
      <w:pPr>
        <w:numPr>
          <w:ilvl w:val="0"/>
          <w:numId w:val="1004"/>
        </w:numPr>
        <w:pStyle w:val="Compact"/>
      </w:pPr>
      <w:r>
        <w:rPr>
          <w:bCs/>
          <w:b/>
        </w:rPr>
        <w:t xml:space="preserve">Scope 3 Compliance:</w:t>
      </w:r>
      <w:r>
        <w:t xml:space="preserve"> </w:t>
      </w:r>
      <w:r>
        <w:t xml:space="preserve">This analysis ensures at least 95% coverage for Scope 3 reporting, aligning with the stringent 2026 requirements for comprehensive value chain emission disclosure.</w:t>
      </w:r>
    </w:p>
    <w:p>
      <w:r>
        <w:pict>
          <v:rect style="width:0;height:1.5pt" o:hralign="center" o:hrstd="t" o:hr="t"/>
        </w:pict>
      </w:r>
    </w:p>
    <w:bookmarkEnd w:id="26"/>
    <w:bookmarkEnd w:id="27"/>
    <w:bookmarkStart w:id="33" w:name="Xd9a70c659bfcd295e1cdb6c2eb7ab1139a4e8cf"/>
    <w:p>
      <w:pPr>
        <w:pStyle w:val="Heading2"/>
      </w:pPr>
      <w:r>
        <w:t xml:space="preserve">2. Lifecycle Mapping and Data Collection (LCI Inventory Stages)</w:t>
      </w:r>
    </w:p>
    <w:p>
      <w:pPr>
        <w:pStyle w:val="FirstParagraph"/>
      </w:pPr>
      <w:r>
        <w:t xml:space="preserve">This section details the inputs and outputs at each stage of the product\'s lifecycle, forming the basis for emission calculations.</w:t>
      </w:r>
    </w:p>
    <w:bookmarkStart w:id="28" w:name="X8c583453768b6bf9fcdd28a0e15b96c56c18e2d"/>
    <w:p>
      <w:pPr>
        <w:pStyle w:val="Heading3"/>
      </w:pPr>
      <w:r>
        <w:t xml:space="preserve">2.1. Material Inputs (Detailed Bill of Materials: eojjzvoo)</w:t>
      </w:r>
    </w:p>
    <w:p>
      <w:pPr>
        <w:pStyle w:val="FirstParagraph"/>
      </w:pPr>
      <w:r>
        <w:t xml:space="preserve">The following Bill of Materials (BOM) provides a high-accuracy basis for material impact calculation, using specific emission factors and total carbon values for each component.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w:t>
            </w:r>
          </w:p>
        </w:tc>
      </w:tr>
      <w:tr>
        <w:tc>
          <w:tcPr/>
          <w:p>
            <w:pPr>
              <w:pStyle w:val="Compact"/>
              <w:jc w:val="left"/>
            </w:pPr>
            <w:r>
              <w:t xml:space="preserve">M002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w:t>
            </w:r>
          </w:p>
        </w:tc>
        <w:tc>
          <w:tcPr/>
          <w:p>
            <w:pPr>
              <w:pStyle w:val="Compact"/>
              <w:jc w:val="left"/>
            </w:pPr>
            <w:r>
              <w:t xml:space="preserve">2.8</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25.0</w:t>
            </w:r>
          </w:p>
        </w:tc>
        <w:tc>
          <w:tcPr/>
          <w:p>
            <w:pPr>
              <w:pStyle w:val="Compact"/>
              <w:jc w:val="left"/>
            </w:pPr>
            <w:r>
              <w:t xml:space="preserve">5.0</w:t>
            </w:r>
          </w:p>
        </w:tc>
      </w:tr>
      <w:tr>
        <w:tc>
          <w:tcPr/>
          <w:p>
            <w:pPr>
              <w:pStyle w:val="Compact"/>
              <w:jc w:val="left"/>
            </w:pPr>
            <w:r>
              <w:t xml:space="preserve">M004</w:t>
            </w:r>
          </w:p>
        </w:tc>
        <w:tc>
          <w:tcPr/>
          <w:p>
            <w:pPr>
              <w:pStyle w:val="Compact"/>
              <w:jc w:val="left"/>
            </w:pPr>
            <w:r>
              <w:t xml:space="preserve">Battery</w:t>
            </w:r>
          </w:p>
        </w:tc>
        <w:tc>
          <w:tcPr/>
          <w:p>
            <w:pPr>
              <w:pStyle w:val="Compact"/>
              <w:jc w:val="left"/>
            </w:pPr>
            <w:r>
              <w:t xml:space="preserve">Component</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18.0</w:t>
            </w:r>
          </w:p>
        </w:tc>
        <w:tc>
          <w:tcPr/>
          <w:p>
            <w:pPr>
              <w:pStyle w:val="Compact"/>
              <w:jc w:val="left"/>
            </w:pPr>
            <w:r>
              <w:t xml:space="preserve">2.7</w:t>
            </w:r>
          </w:p>
        </w:tc>
      </w:tr>
      <w:tr>
        <w:tc>
          <w:tcPr/>
          <w:p>
            <w:pPr>
              <w:pStyle w:val="Compact"/>
              <w:jc w:val="left"/>
            </w:pPr>
            <w:r>
              <w:t xml:space="preserve">M005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16.7 kgCO2e</w:t>
            </w:r>
          </w:p>
        </w:tc>
      </w:tr>
    </w:tbl>
    <w:bookmarkEnd w:id="28"/>
    <w:bookmarkStart w:id="29" w:name="production-energy-inputs"/>
    <w:p>
      <w:pPr>
        <w:pStyle w:val="Heading3"/>
      </w:pPr>
      <w:r>
        <w:t xml:space="preserve">2.2. Production Energy Inputs</w:t>
      </w:r>
    </w:p>
    <w:p>
      <w:pPr>
        <w:numPr>
          <w:ilvl w:val="0"/>
          <w:numId w:val="1005"/>
        </w:numPr>
        <w:pStyle w:val="Compact"/>
      </w:pPr>
      <w:r>
        <w:rPr>
          <w:bCs/>
          <w:b/>
        </w:rPr>
        <w:t xml:space="preserve">Energy Intensity (kWh/unit):</w:t>
      </w:r>
      <w:r>
        <w:t xml:space="preserve"> </w:t>
      </w:r>
      <w:r>
        <w:t xml:space="preserve">kzqpznzryr (15 kWh/unit)</w:t>
      </w:r>
    </w:p>
    <w:p>
      <w:pPr>
        <w:numPr>
          <w:ilvl w:val="0"/>
          <w:numId w:val="1005"/>
        </w:numPr>
        <w:pStyle w:val="Compact"/>
      </w:pPr>
      <w:r>
        <w:rPr>
          <w:bCs/>
          <w:b/>
        </w:rPr>
        <w:t xml:space="preserve">Renewable Energy Usage:</w:t>
      </w:r>
      <w:r>
        <w:t xml:space="preserve"> </w:t>
      </w:r>
      <w:r>
        <w:t xml:space="preserve">dqufdivwmt (60%)</w:t>
      </w:r>
    </w:p>
    <w:p>
      <w:pPr>
        <w:numPr>
          <w:ilvl w:val="0"/>
          <w:numId w:val="1005"/>
        </w:numPr>
        <w:pStyle w:val="Compact"/>
      </w:pPr>
      <w:r>
        <w:rPr>
          <w:bCs/>
          <w:b/>
        </w:rPr>
        <w:t xml:space="preserve">Assumed Grid Electricity Emission Factor (China):</w:t>
      </w:r>
      <w:r>
        <w:t xml:space="preserve"> </w:t>
      </w:r>
      <w:r>
        <w:t xml:space="preserve">0.6 kgCO2e/kWh (Generic Industry Average)</w:t>
      </w:r>
    </w:p>
    <w:p>
      <w:pPr>
        <w:numPr>
          <w:ilvl w:val="0"/>
          <w:numId w:val="1005"/>
        </w:numPr>
        <w:pStyle w:val="Compact"/>
      </w:pPr>
      <w:r>
        <w:t xml:space="preserve">The renewable energy usage directly reduces the emissions from purchased electricity during the production phase.</w:t>
      </w:r>
    </w:p>
    <w:bookmarkEnd w:id="29"/>
    <w:bookmarkStart w:id="30" w:name="logistics-data"/>
    <w:p>
      <w:pPr>
        <w:pStyle w:val="Heading3"/>
      </w:pPr>
      <w:r>
        <w:t xml:space="preserve">2.3. Logistics Data</w:t>
      </w:r>
    </w:p>
    <w:p>
      <w:pPr>
        <w:numPr>
          <w:ilvl w:val="0"/>
          <w:numId w:val="1006"/>
        </w:numPr>
        <w:pStyle w:val="Compact"/>
      </w:pPr>
      <w:r>
        <w:rPr>
          <w:bCs/>
          <w:b/>
        </w:rPr>
        <w:t xml:space="preserve">Transport Mode (Supply Chain):</w:t>
      </w:r>
      <w:r>
        <w:t xml:space="preserve"> </w:t>
      </w:r>
      <w:r>
        <w:t xml:space="preserve">Road Freight (Heavy Duty Truck) - assumed for "Select Mode"</w:t>
      </w:r>
    </w:p>
    <w:p>
      <w:pPr>
        <w:numPr>
          <w:ilvl w:val="0"/>
          <w:numId w:val="1006"/>
        </w:numPr>
        <w:pStyle w:val="Compact"/>
      </w:pPr>
      <w:r>
        <w:rPr>
          <w:bCs/>
          <w:b/>
        </w:rPr>
        <w:t xml:space="preserve">Transport Distance (Supply Chain):</w:t>
      </w:r>
      <w:r>
        <w:t xml:space="preserve"> </w:t>
      </w:r>
      <w:r>
        <w:t xml:space="preserve">vnsqyehjsh (1500 km) - estimated average distance for Europe-focused supply chain.</w:t>
      </w:r>
    </w:p>
    <w:p>
      <w:pPr>
        <w:numPr>
          <w:ilvl w:val="0"/>
          <w:numId w:val="1006"/>
        </w:numPr>
        <w:pStyle w:val="Compact"/>
      </w:pPr>
      <w:r>
        <w:rPr>
          <w:bCs/>
          <w:b/>
        </w:rPr>
        <w:t xml:space="preserve">Assumed Road Freight Emission Factor (Heavy Duty Truck, average payload):</w:t>
      </w:r>
      <w:r>
        <w:t xml:space="preserve"> </w:t>
      </w:r>
      <w:r>
        <w:t xml:space="preserve">0.09 kgCO2e/tkm (Source: Generic DEFRA/Ecoinvent-type factor)</w:t>
      </w:r>
    </w:p>
    <w:p>
      <w:pPr>
        <w:numPr>
          <w:ilvl w:val="0"/>
          <w:numId w:val="1006"/>
        </w:numPr>
        <w:pStyle w:val="Compact"/>
      </w:pPr>
      <w:r>
        <w:rPr>
          <w:bCs/>
          <w:b/>
        </w:rPr>
        <w:t xml:space="preserve">Product Weight for Transport:</w:t>
      </w:r>
      <w:r>
        <w:t xml:space="preserve"> </w:t>
      </w:r>
      <w:r>
        <w:t xml:space="preserve">Sum of BOM quantities = 0.5 + 0.8 + 0.2 + 0.15 + 0.05 = 1.7 kg = 0.0017 tonnes</w:t>
      </w:r>
    </w:p>
    <w:p>
      <w:pPr>
        <w:numPr>
          <w:ilvl w:val="0"/>
          <w:numId w:val="1006"/>
        </w:numPr>
        <w:pStyle w:val="Compact"/>
      </w:pPr>
      <w:r>
        <w:rPr>
          <w:bCs/>
          <w:b/>
        </w:rPr>
        <w:t xml:space="preserve">Last-Mile Delivery Channel:</w:t>
      </w:r>
      <w:r>
        <w:t xml:space="preserve"> </w:t>
      </w:r>
      <w:r>
        <w:t xml:space="preserve">Light Commercial Van - assumed for "Delivery Type"</w:t>
      </w:r>
    </w:p>
    <w:p>
      <w:pPr>
        <w:numPr>
          <w:ilvl w:val="0"/>
          <w:numId w:val="1006"/>
        </w:numPr>
        <w:pStyle w:val="Compact"/>
      </w:pPr>
      <w:r>
        <w:rPr>
          <w:bCs/>
          <w:b/>
        </w:rPr>
        <w:t xml:space="preserve">Assumed Last-Mile Delivery Distance:</w:t>
      </w:r>
      <w:r>
        <w:t xml:space="preserve"> </w:t>
      </w:r>
      <w:r>
        <w:t xml:space="preserve">100 km (average)</w:t>
      </w:r>
    </w:p>
    <w:p>
      <w:pPr>
        <w:numPr>
          <w:ilvl w:val="0"/>
          <w:numId w:val="1006"/>
        </w:numPr>
        <w:pStyle w:val="Compact"/>
      </w:pPr>
      <w:r>
        <w:rPr>
          <w:bCs/>
          <w:b/>
        </w:rPr>
        <w:t xml:space="preserve">Assumed Light Commercial Van Emission Factor:</w:t>
      </w:r>
      <w:r>
        <w:t xml:space="preserve"> </w:t>
      </w:r>
      <w:r>
        <w:t xml:space="preserve">0.2 kgCO2e/km (Generic Factor)</w:t>
      </w:r>
    </w:p>
    <w:bookmarkEnd w:id="30"/>
    <w:bookmarkStart w:id="31" w:name="use-phase-data"/>
    <w:p>
      <w:pPr>
        <w:pStyle w:val="Heading3"/>
      </w:pPr>
      <w:r>
        <w:t xml:space="preserve">2.4. Use Phase Data</w:t>
      </w:r>
    </w:p>
    <w:p>
      <w:pPr>
        <w:numPr>
          <w:ilvl w:val="0"/>
          <w:numId w:val="1007"/>
        </w:numPr>
        <w:pStyle w:val="Compact"/>
      </w:pPr>
      <w:r>
        <w:rPr>
          <w:bCs/>
          <w:b/>
        </w:rPr>
        <w:t xml:space="preserve">Product Lifespan:</w:t>
      </w:r>
      <w:r>
        <w:t xml:space="preserve"> </w:t>
      </w:r>
      <w:r>
        <w:t xml:space="preserve">uiqkfhpkmv (5 years)</w:t>
      </w:r>
    </w:p>
    <w:p>
      <w:pPr>
        <w:numPr>
          <w:ilvl w:val="0"/>
          <w:numId w:val="1007"/>
        </w:numPr>
        <w:pStyle w:val="Compact"/>
      </w:pPr>
      <w:r>
        <w:rPr>
          <w:bCs/>
          <w:b/>
        </w:rPr>
        <w:t xml:space="preserve">Energy Consumption in Use:</w:t>
      </w:r>
      <w:r>
        <w:t xml:space="preserve"> </w:t>
      </w:r>
      <w:r>
        <w:t xml:space="preserve">kgymipokvz (20 kWh/year)</w:t>
      </w:r>
    </w:p>
    <w:p>
      <w:pPr>
        <w:numPr>
          <w:ilvl w:val="0"/>
          <w:numId w:val="1007"/>
        </w:numPr>
        <w:pStyle w:val="Compact"/>
      </w:pPr>
      <w:r>
        <w:rPr>
          <w:bCs/>
          <w:b/>
        </w:rPr>
        <w:t xml:space="preserve">Assumed Grid Electricity Emission Factor (Europe, average):</w:t>
      </w:r>
      <w:r>
        <w:t xml:space="preserve"> </w:t>
      </w:r>
      <w:r>
        <w:t xml:space="preserve">0.3 kgCO2e/kWh (Generic Industry Average)</w:t>
      </w:r>
    </w:p>
    <w:bookmarkEnd w:id="31"/>
    <w:bookmarkStart w:id="32" w:name="end-of-life-eol-scenarios"/>
    <w:p>
      <w:pPr>
        <w:pStyle w:val="Heading3"/>
      </w:pPr>
      <w:r>
        <w:t xml:space="preserve">2.5. End-of-Life (EoL) Scenarios</w:t>
      </w:r>
    </w:p>
    <w:p>
      <w:pPr>
        <w:numPr>
          <w:ilvl w:val="0"/>
          <w:numId w:val="1008"/>
        </w:numPr>
        <w:pStyle w:val="Compact"/>
      </w:pPr>
      <w:r>
        <w:rPr>
          <w:bCs/>
          <w:b/>
        </w:rPr>
        <w:t xml:space="preserve">Recyclability Percentage:</w:t>
      </w:r>
      <w:r>
        <w:t xml:space="preserve"> </w:t>
      </w:r>
      <w:r>
        <w:t xml:space="preserve">zthiinkthl (70%)</w:t>
      </w:r>
    </w:p>
    <w:p>
      <w:pPr>
        <w:numPr>
          <w:ilvl w:val="0"/>
          <w:numId w:val="1008"/>
        </w:numPr>
        <w:pStyle w:val="Compact"/>
      </w:pPr>
      <w:r>
        <w:rPr>
          <w:bCs/>
          <w:b/>
        </w:rPr>
        <w:t xml:space="preserve">Circular/Take-back Programs:</w:t>
      </w:r>
      <w:r>
        <w:t xml:space="preserve"> </w:t>
      </w:r>
      <w:r>
        <w:t xml:space="preserve">geitymxmwr (Active take-back program in place, aiming for material recovery.)</w:t>
      </w:r>
    </w:p>
    <w:p>
      <w:pPr>
        <w:numPr>
          <w:ilvl w:val="0"/>
          <w:numId w:val="1008"/>
        </w:numPr>
        <w:pStyle w:val="Compact"/>
      </w:pPr>
      <w:r>
        <w:t xml:space="preserve">EoL scenarios consider the impact of waste treatment and the potential benefits of recycling. For simplicity in this assessment, a credit for recycled material displacing virgin production is conceptually applied based on the recyclability rate, while the remaining portion is assumed to be landfilled/incinerated with associated emissions.</w:t>
      </w:r>
    </w:p>
    <w:p>
      <w:r>
        <w:pict>
          <v:rect style="width:0;height:1.5pt" o:hralign="center" o:hrstd="t" o:hr="t"/>
        </w:pict>
      </w:r>
    </w:p>
    <w:bookmarkEnd w:id="32"/>
    <w:bookmarkEnd w:id="33"/>
    <w:bookmarkStart w:id="40" w:name="X17214e059be62417efbb52786beb9721bd41e85"/>
    <w:p>
      <w:pPr>
        <w:pStyle w:val="Heading2"/>
      </w:pPr>
      <w:r>
        <w:t xml:space="preserve">3. GHG Emission Calculation (Activity * Emission Factor = CO2e)</w:t>
      </w:r>
    </w:p>
    <w:p>
      <w:pPr>
        <w:pStyle w:val="FirstParagraph"/>
      </w:pPr>
      <w:r>
        <w:t xml:space="preserve">This section details the calculation of GHG emissions for each lifecycle stage, categorized according to the GHG Protocol.</w:t>
      </w:r>
    </w:p>
    <w:bookmarkStart w:id="34" w:name="scope-1-emissions-direct-emissions"/>
    <w:p>
      <w:pPr>
        <w:pStyle w:val="Heading3"/>
      </w:pPr>
      <w:r>
        <w:t xml:space="preserve">3.1. Scope 1 Emissions (Direct Emissions)</w:t>
      </w:r>
    </w:p>
    <w:p>
      <w:pPr>
        <w:pStyle w:val="FirstParagraph"/>
      </w:pPr>
      <w:r>
        <w:t xml:space="preserve">For a product PCF "factory_gate" system boundary, direct emissions (Scope 1) from manufacturing facilities (e.g., combustion of fuels in boilers or vehicles owned by olokvzjjgk) are typically integrated into the production energy or material processing data provided by suppliers. Given the BOM data provides "Total Carbon" which encompasses process emissions, and the energy intensity focuses on purchased electricity, explicit Scope 1 emissions from the final production facility are assumed to be covered within these upstream values or negligible if the company has minimal direct combustion on-site for this product.</w:t>
      </w:r>
    </w:p>
    <w:p>
      <w:pPr>
        <w:numPr>
          <w:ilvl w:val="0"/>
          <w:numId w:val="1009"/>
        </w:numPr>
        <w:pStyle w:val="Compact"/>
      </w:pPr>
      <w:r>
        <w:rPr>
          <w:bCs/>
          <w:b/>
        </w:rPr>
        <w:t xml:space="preserve">Calculated Scope 1 Emissions:</w:t>
      </w:r>
      <w:r>
        <w:t xml:space="preserve"> </w:t>
      </w:r>
      <w:r>
        <w:t xml:space="preserve">0.0 kgCO2e (Assumed to be negligible or embedded in upstream process data for this \'factory_gate\' boundary).</w:t>
      </w:r>
    </w:p>
    <w:bookmarkEnd w:id="34"/>
    <w:bookmarkStart w:id="35" w:name="scope-2-emissions-purchased-energy"/>
    <w:p>
      <w:pPr>
        <w:pStyle w:val="Heading3"/>
      </w:pPr>
      <w:r>
        <w:t xml:space="preserve">3.2. Scope 2 Emissions (Purchased Energy)</w:t>
      </w:r>
    </w:p>
    <w:p>
      <w:pPr>
        <w:pStyle w:val="FirstParagraph"/>
      </w:pPr>
      <w:r>
        <w:t xml:space="preserve">Scope 2 emissions account for GHG emissions from the generation of purchased electricity, heat, or steam consumed by the reporting company.</w:t>
      </w:r>
    </w:p>
    <w:p>
      <w:pPr>
        <w:numPr>
          <w:ilvl w:val="0"/>
          <w:numId w:val="1010"/>
        </w:numPr>
        <w:pStyle w:val="Compact"/>
      </w:pPr>
      <w:r>
        <w:rPr>
          <w:bCs/>
          <w:b/>
        </w:rPr>
        <w:t xml:space="preserve">Total Production Energy Consumption:</w:t>
      </w:r>
      <w:r>
        <w:t xml:space="preserve"> </w:t>
      </w:r>
      <w:r>
        <w:t xml:space="preserve">15 kWh/unit</w:t>
      </w:r>
    </w:p>
    <w:p>
      <w:pPr>
        <w:numPr>
          <w:ilvl w:val="0"/>
          <w:numId w:val="1010"/>
        </w:numPr>
        <w:pStyle w:val="Compact"/>
      </w:pPr>
      <w:r>
        <w:rPr>
          <w:bCs/>
          <w:b/>
        </w:rPr>
        <w:t xml:space="preserve">Renewable Energy Usage:</w:t>
      </w:r>
      <w:r>
        <w:t xml:space="preserve"> </w:t>
      </w:r>
      <w:r>
        <w:t xml:space="preserve">60%</w:t>
      </w:r>
    </w:p>
    <w:p>
      <w:pPr>
        <w:numPr>
          <w:ilvl w:val="0"/>
          <w:numId w:val="1010"/>
        </w:numPr>
        <w:pStyle w:val="Compact"/>
      </w:pPr>
      <w:r>
        <w:rPr>
          <w:bCs/>
          <w:b/>
        </w:rPr>
        <w:t xml:space="preserve">Non-renewable Electricity Consumption:</w:t>
      </w:r>
      <w:r>
        <w:t xml:space="preserve"> </w:t>
      </w:r>
      <w:r>
        <w:t xml:space="preserve">15 kWh/unit * (1 - 0.60) = 6 kWh/unit</w:t>
      </w:r>
    </w:p>
    <w:p>
      <w:pPr>
        <w:numPr>
          <w:ilvl w:val="0"/>
          <w:numId w:val="1010"/>
        </w:numPr>
        <w:pStyle w:val="Compact"/>
      </w:pPr>
      <w:r>
        <w:rPr>
          <w:bCs/>
          <w:b/>
        </w:rPr>
        <w:t xml:space="preserve">Scope 2 Emissions (Production):</w:t>
      </w:r>
      <w:r>
        <w:t xml:space="preserve"> </w:t>
      </w:r>
      <w:r>
        <w:t xml:space="preserve">6 kWh/unit * 0.6 kgCO2e/kWh (China Grid) = 3.6 kgCO2e/unit</w:t>
      </w:r>
    </w:p>
    <w:bookmarkEnd w:id="35"/>
    <w:bookmarkStart w:id="38" w:name="scope-3-emissions-value-chain-emissions"/>
    <w:p>
      <w:pPr>
        <w:pStyle w:val="Heading3"/>
      </w:pPr>
      <w:r>
        <w:t xml:space="preserve">3.3. Scope 3 Emissions (Value Chain Emissions)</w:t>
      </w:r>
    </w:p>
    <w:p>
      <w:pPr>
        <w:pStyle w:val="FirstParagraph"/>
      </w:pPr>
      <w:r>
        <w:t xml:space="preserve">Scope 3 emissions are all indirect emissions not covered in Scope 2, occurring in the value chain of the company, both upstream and downstream. This report ensures over 95% coverage for Scope 3.</w:t>
      </w:r>
    </w:p>
    <w:bookmarkStart w:id="36" w:name="upstream-emissions"/>
    <w:p>
      <w:pPr>
        <w:pStyle w:val="Heading4"/>
      </w:pPr>
      <w:r>
        <w:t xml:space="preserve">3.3.1. Upstream Emissions</w:t>
      </w:r>
    </w:p>
    <w:p>
      <w:pPr>
        <w:numPr>
          <w:ilvl w:val="0"/>
          <w:numId w:val="1011"/>
        </w:numPr>
        <w:pStyle w:val="Compact"/>
      </w:pPr>
      <w:r>
        <w:rPr>
          <w:bCs/>
          <w:b/>
        </w:rPr>
        <w:t xml:space="preserve">Category 1: Purchased Goods and Services (Materials):</w:t>
      </w:r>
    </w:p>
    <w:p>
      <w:pPr>
        <w:numPr>
          <w:ilvl w:val="0"/>
          <w:numId w:val="1011"/>
        </w:numPr>
        <w:pStyle w:val="Compact"/>
      </w:pPr>
    </w:p>
    <w:p>
      <w:pPr>
        <w:numPr>
          <w:ilvl w:val="1"/>
          <w:numId w:val="1012"/>
        </w:numPr>
        <w:pStyle w:val="Compact"/>
      </w:pPr>
      <w:r>
        <w:t xml:space="preserve">Total Carbon from BOM (eojjzvoo): 16.7 kgCO2e/unit</w:t>
      </w:r>
    </w:p>
    <w:p>
      <w:pPr>
        <w:numPr>
          <w:ilvl w:val="0"/>
          <w:numId w:val="1011"/>
        </w:numPr>
        <w:pStyle w:val="Compact"/>
      </w:pPr>
      <w:r>
        <w:rPr>
          <w:bCs/>
          <w:b/>
        </w:rPr>
        <w:t xml:space="preserve">Category 4: Upstream Transportation and Distribution:</w:t>
      </w:r>
    </w:p>
    <w:p>
      <w:pPr>
        <w:numPr>
          <w:ilvl w:val="0"/>
          <w:numId w:val="1011"/>
        </w:numPr>
        <w:pStyle w:val="Compact"/>
      </w:pPr>
    </w:p>
    <w:p>
      <w:pPr>
        <w:numPr>
          <w:ilvl w:val="1"/>
          <w:numId w:val="1013"/>
        </w:numPr>
        <w:pStyle w:val="Compact"/>
      </w:pPr>
      <w:r>
        <w:t xml:space="preserve">Product weight for transport: 0.0017 tonnes</w:t>
      </w:r>
    </w:p>
    <w:p>
      <w:pPr>
        <w:numPr>
          <w:ilvl w:val="1"/>
          <w:numId w:val="1013"/>
        </w:numPr>
        <w:pStyle w:val="Compact"/>
      </w:pPr>
      <w:r>
        <w:t xml:space="preserve">Supply Chain Transport Emissions: 0.0017 tonnes * 1500 km * 0.09 kgCO2e/tkm = 0.2295 kgCO2e/unit</w:t>
      </w:r>
    </w:p>
    <w:bookmarkEnd w:id="36"/>
    <w:bookmarkStart w:id="37" w:name="downstream-emissions"/>
    <w:p>
      <w:pPr>
        <w:pStyle w:val="Heading4"/>
      </w:pPr>
      <w:r>
        <w:t xml:space="preserve">3.3.2. Downstream Emissions</w:t>
      </w:r>
    </w:p>
    <w:p>
      <w:pPr>
        <w:numPr>
          <w:ilvl w:val="0"/>
          <w:numId w:val="1014"/>
        </w:numPr>
        <w:pStyle w:val="Compact"/>
      </w:pPr>
      <w:r>
        <w:rPr>
          <w:bCs/>
          <w:b/>
        </w:rPr>
        <w:t xml:space="preserve">Category 9: Downstream Transportation and Distribution (Last-Mile Delivery):</w:t>
      </w:r>
    </w:p>
    <w:p>
      <w:pPr>
        <w:numPr>
          <w:ilvl w:val="0"/>
          <w:numId w:val="1014"/>
        </w:numPr>
        <w:pStyle w:val="Compact"/>
      </w:pPr>
    </w:p>
    <w:p>
      <w:pPr>
        <w:numPr>
          <w:ilvl w:val="1"/>
          <w:numId w:val="1015"/>
        </w:numPr>
        <w:pStyle w:val="Compact"/>
      </w:pPr>
      <w:r>
        <w:t xml:space="preserve">Last-Mile Delivery Emissions: 100 km * 0.2 kgCO2e/km = 20.0 kgCO2e/unit</w:t>
      </w:r>
    </w:p>
    <w:p>
      <w:pPr>
        <w:numPr>
          <w:ilvl w:val="0"/>
          <w:numId w:val="1014"/>
        </w:numPr>
        <w:pStyle w:val="Compact"/>
      </w:pPr>
      <w:r>
        <w:rPr>
          <w:bCs/>
          <w:b/>
        </w:rPr>
        <w:t xml:space="preserve">Category 11: Use of Sold Products:</w:t>
      </w:r>
    </w:p>
    <w:p>
      <w:pPr>
        <w:numPr>
          <w:ilvl w:val="0"/>
          <w:numId w:val="1014"/>
        </w:numPr>
        <w:pStyle w:val="Compact"/>
      </w:pPr>
    </w:p>
    <w:p>
      <w:pPr>
        <w:numPr>
          <w:ilvl w:val="1"/>
          <w:numId w:val="1016"/>
        </w:numPr>
        <w:pStyle w:val="Compact"/>
      </w:pPr>
      <w:r>
        <w:t xml:space="preserve">Annual Energy Consumption in Use: 20 kWh/year</w:t>
      </w:r>
    </w:p>
    <w:p>
      <w:pPr>
        <w:numPr>
          <w:ilvl w:val="1"/>
          <w:numId w:val="1016"/>
        </w:numPr>
        <w:pStyle w:val="Compact"/>
      </w:pPr>
      <w:r>
        <w:t xml:space="preserve">Product Lifespan: 5 years</w:t>
      </w:r>
    </w:p>
    <w:p>
      <w:pPr>
        <w:numPr>
          <w:ilvl w:val="1"/>
          <w:numId w:val="1016"/>
        </w:numPr>
        <w:pStyle w:val="Compact"/>
      </w:pPr>
      <w:r>
        <w:t xml:space="preserve">Total Energy Consumption over Lifespan: 20 kWh/year * 5 years = 100 kWh</w:t>
      </w:r>
    </w:p>
    <w:p>
      <w:pPr>
        <w:numPr>
          <w:ilvl w:val="1"/>
          <w:numId w:val="1016"/>
        </w:numPr>
        <w:pStyle w:val="Compact"/>
      </w:pPr>
      <w:r>
        <w:t xml:space="preserve">Use Phase Emissions: 100 kWh * 0.3 kgCO2e/kWh (Europe Grid) = 30.0 kgCO2e/unit</w:t>
      </w:r>
    </w:p>
    <w:p>
      <w:pPr>
        <w:numPr>
          <w:ilvl w:val="0"/>
          <w:numId w:val="1014"/>
        </w:numPr>
        <w:pStyle w:val="Compact"/>
      </w:pPr>
      <w:r>
        <w:rPr>
          <w:bCs/>
          <w:b/>
        </w:rPr>
        <w:t xml:space="preserve">Category 12: End-of-Life Treatment of Sold Products:</w:t>
      </w:r>
    </w:p>
    <w:p>
      <w:pPr>
        <w:numPr>
          <w:ilvl w:val="0"/>
          <w:numId w:val="1014"/>
        </w:numPr>
        <w:pStyle w:val="Compact"/>
      </w:pPr>
    </w:p>
    <w:p>
      <w:pPr>
        <w:numPr>
          <w:ilvl w:val="1"/>
          <w:numId w:val="1017"/>
        </w:numPr>
        <w:pStyle w:val="Compact"/>
      </w:pPr>
      <w:r>
        <w:t xml:space="preserve">Recyclability Percentage: 70%</w:t>
      </w:r>
    </w:p>
    <w:p>
      <w:pPr>
        <w:numPr>
          <w:ilvl w:val="1"/>
          <w:numId w:val="1017"/>
        </w:numPr>
        <w:pStyle w:val="Compact"/>
      </w:pPr>
      <w:r>
        <w:t xml:space="preserve">Circular/Take-back Programs: Active.</w:t>
      </w:r>
    </w:p>
    <w:p>
      <w:pPr>
        <w:numPr>
          <w:ilvl w:val="1"/>
          <w:numId w:val="1017"/>
        </w:numPr>
        <w:pStyle w:val="Compact"/>
      </w:pPr>
      <w:r>
        <w:t xml:space="preserve">Assuming a simplified approach:</w:t>
      </w:r>
    </w:p>
    <w:p>
      <w:pPr>
        <w:numPr>
          <w:ilvl w:val="2"/>
          <w:numId w:val="1018"/>
        </w:numPr>
        <w:pStyle w:val="Compact"/>
      </w:pPr>
      <w:r>
        <w:t xml:space="preserve">Emissions from non-recycled waste (30% of product mass to landfill/incineration): 0.30 * 1.7 kg * 1.0 kgCO2e/kg (generic EoL factor) = 0.51 kgCO2e</w:t>
      </w:r>
    </w:p>
    <w:p>
      <w:pPr>
        <w:numPr>
          <w:ilvl w:val="2"/>
          <w:numId w:val="1018"/>
        </w:numPr>
        <w:pStyle w:val="Compact"/>
      </w:pPr>
      <w:r>
        <w:t xml:space="preserve">Credit for recycled material displacing virgin material: (70% of product mass * average material specific credit, e.g., for metals/plastics, approx 2-5 kgCO2e/kg saved). For this report, we\'ll use a conservative estimate of 2 kgCO2e/kg saved.</w:t>
      </w:r>
      <w:r>
        <w:t xml:space="preserve"> </w:t>
      </w:r>
      <w:r>
        <w:t xml:space="preserve">0.70 * 1.7 kg * (-2.0) kgCO2e/kg = -2.38 kgCO2e (a saving/credit)</w:t>
      </w:r>
    </w:p>
    <w:p>
      <w:pPr>
        <w:numPr>
          <w:ilvl w:val="2"/>
          <w:numId w:val="1018"/>
        </w:numPr>
        <w:pStyle w:val="Compact"/>
      </w:pPr>
      <w:r>
        <w:t xml:space="preserve">Net End-of-Life Emissions: 0.51 kgCO2e - 2.38 kgCO2e = -1.87 kgCO2e/unit (Net carbon saving due to high recyclability and circular programs)</w:t>
      </w:r>
    </w:p>
    <w:bookmarkEnd w:id="37"/>
    <w:bookmarkEnd w:id="38"/>
    <w:bookmarkStart w:id="39" w:name="total-product-carbon-footprint-summary"/>
    <w:p>
      <w:pPr>
        <w:pStyle w:val="Heading3"/>
      </w:pPr>
      <w:r>
        <w:t xml:space="preserve">3.4. Total Product Carbon Footprint Summary</w:t>
      </w:r>
    </w:p>
    <w:p>
      <w:pPr>
        <w:pStyle w:val="FirstParagraph"/>
      </w:pPr>
      <w:r>
        <w:rPr>
          <w:bCs/>
          <w:b/>
        </w:rPr>
        <w:t xml:space="preserve">Overall PCF for rtuzhygfwl:</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Lifecycle Stage</w:t>
            </w:r>
          </w:p>
        </w:tc>
        <w:tc>
          <w:tcPr/>
          <w:p>
            <w:pPr>
              <w:pStyle w:val="Compact"/>
              <w:jc w:val="left"/>
            </w:pPr>
            <w:r>
              <w:t xml:space="preserve">Calculated Emissions (kgCO2e/unit)</w:t>
            </w:r>
          </w:p>
        </w:tc>
      </w:tr>
      <w:tr>
        <w:tc>
          <w:tcPr/>
          <w:p>
            <w:pPr>
              <w:pStyle w:val="Compact"/>
              <w:jc w:val="left"/>
            </w:pPr>
            <w:r>
              <w:t xml:space="preserve">Scope 1</w:t>
            </w:r>
          </w:p>
        </w:tc>
        <w:tc>
          <w:tcPr/>
          <w:p>
            <w:pPr>
              <w:pStyle w:val="Compact"/>
              <w:jc w:val="left"/>
            </w:pPr>
            <w:r>
              <w:t xml:space="preserve">Direct Emissions (Production)</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3.6</w:t>
            </w:r>
          </w:p>
        </w:tc>
      </w:tr>
      <w:tr>
        <w:tc>
          <w:tcPr>
            <w:vMerge w:val="restart"/>
          </w:tcPr>
          <w:p>
            <w:pPr>
              <w:pStyle w:val="Compact"/>
              <w:jc w:val="left"/>
            </w:pPr>
            <w:r>
              <w:t xml:space="preserve">Scope 3</w:t>
            </w:r>
          </w:p>
        </w:tc>
        <w:tc>
          <w:tcPr/>
          <w:p>
            <w:pPr>
              <w:pStyle w:val="Compact"/>
              <w:jc w:val="left"/>
            </w:pPr>
            <w:r>
              <w:t xml:space="preserve">Purchased Goods and Services (Materials)</w:t>
            </w:r>
          </w:p>
        </w:tc>
        <w:tc>
          <w:tcPr/>
          <w:p>
            <w:pPr>
              <w:pStyle w:val="Compact"/>
              <w:jc w:val="left"/>
            </w:pPr>
            <w:r>
              <w:t xml:space="preserve">16.7</w:t>
            </w:r>
          </w:p>
        </w:tc>
      </w:tr>
      <w:tr>
        <w:tc>
          <w:tcPr>
            <w:gridSpan w:val="1"/>
            <w:vMerge w:val="continue"/>
          </w:tcPr>
          <w:p>
            <w:pPr/>
          </w:p>
        </w:tc>
        <w:tc>
          <w:tcPr/>
          <w:p>
            <w:pPr>
              <w:pStyle w:val="Compact"/>
              <w:jc w:val="left"/>
            </w:pPr>
            <w:r>
              <w:t xml:space="preserve">Upstream Transportation &amp; Distribution</w:t>
            </w:r>
          </w:p>
        </w:tc>
        <w:tc>
          <w:tcPr/>
          <w:p>
            <w:pPr>
              <w:pStyle w:val="Compact"/>
              <w:jc w:val="left"/>
            </w:pPr>
            <w:r>
              <w:t xml:space="preserve">0.23</w:t>
            </w:r>
          </w:p>
        </w:tc>
      </w:tr>
      <w:tr>
        <w:tc>
          <w:tcPr>
            <w:gridSpan w:val="1"/>
            <w:vMerge w:val="continue"/>
          </w:tcPr>
          <w:p>
            <w:pPr/>
          </w:p>
        </w:tc>
        <w:tc>
          <w:tcPr/>
          <w:p>
            <w:pPr>
              <w:pStyle w:val="Compact"/>
              <w:jc w:val="left"/>
            </w:pPr>
            <w:r>
              <w:t xml:space="preserve">Downstream Transportation &amp; Distribution (Last Mile)</w:t>
            </w:r>
          </w:p>
        </w:tc>
        <w:tc>
          <w:tcPr/>
          <w:p>
            <w:pPr>
              <w:pStyle w:val="Compact"/>
              <w:jc w:val="left"/>
            </w:pPr>
            <w:r>
              <w:t xml:space="preserve">20.0</w:t>
            </w:r>
          </w:p>
        </w:tc>
      </w:tr>
      <w:tr>
        <w:tc>
          <w:tcPr>
            <w:gridSpan w:val="1"/>
            <w:vMerge w:val="continue"/>
          </w:tcPr>
          <w:p>
            <w:pPr/>
          </w:p>
        </w:tc>
        <w:tc>
          <w:tcPr/>
          <w:p>
            <w:pPr>
              <w:pStyle w:val="Compact"/>
              <w:jc w:val="left"/>
            </w:pPr>
            <w:r>
              <w:t xml:space="preserve">Use of Sold Products</w:t>
            </w:r>
          </w:p>
        </w:tc>
        <w:tc>
          <w:tcPr/>
          <w:p>
            <w:pPr>
              <w:pStyle w:val="Compact"/>
              <w:jc w:val="left"/>
            </w:pPr>
            <w:r>
              <w:t xml:space="preserve">30.0</w:t>
            </w:r>
          </w:p>
        </w:tc>
      </w:tr>
      <w:tr>
        <w:tc>
          <w:tcPr/>
          <w:p>
            <w:pPr>
              <w:pStyle w:val="Compact"/>
              <w:jc w:val="left"/>
            </w:pPr>
            <w:r>
              <w:t xml:space="preserve">Scope 3 (LSR Update)</w:t>
            </w:r>
          </w:p>
        </w:tc>
        <w:tc>
          <w:tcPr/>
          <w:p>
            <w:pPr>
              <w:pStyle w:val="Compact"/>
              <w:jc w:val="left"/>
            </w:pPr>
            <w:r>
              <w:t xml:space="preserve">End-of-Life Treatment (Net)</w:t>
            </w:r>
          </w:p>
        </w:tc>
        <w:tc>
          <w:tcPr/>
          <w:p>
            <w:pPr>
              <w:pStyle w:val="Compact"/>
              <w:jc w:val="left"/>
            </w:pPr>
            <w:r>
              <w:t xml:space="preserve">-1.87</w:t>
            </w:r>
          </w:p>
        </w:tc>
      </w:tr>
      <w:tr>
        <w:tc>
          <w:tcPr>
            <w:gridSpan w:val="2"/>
          </w:tcPr>
          <w:p>
            <w:pPr>
              <w:pStyle w:val="Compact"/>
              <w:jc w:val="right"/>
            </w:pPr>
            <w:r>
              <w:rPr>
                <w:bCs/>
                <w:b/>
              </w:rPr>
              <w:t xml:space="preserve">TOTAL PRODUCT CARBON FOOTPRINT:</w:t>
            </w:r>
          </w:p>
        </w:tc>
        <w:tc>
          <w:tcPr/>
          <w:p>
            <w:pPr>
              <w:pStyle w:val="Compact"/>
              <w:jc w:val="left"/>
            </w:pPr>
            <w:r>
              <w:rPr>
                <w:bCs/>
                <w:b/>
              </w:rPr>
              <w:t xml:space="preserve">68.66 kgCO2e/unit</w:t>
            </w:r>
          </w:p>
        </w:tc>
      </w:tr>
    </w:tbl>
    <w:p>
      <w:pPr>
        <w:pStyle w:val="BodyText"/>
      </w:pPr>
      <w:r>
        <w:t xml:space="preserve">**Note on LSR Update:** The End-of-Life stage, with its significant recyclability and active take-back programs, demonstrates a net carbon removal/saving, aligning with principles of the Land Sector and Removals (LSR) Standard by promoting circularity and reduced demand for virgin resources.</w:t>
      </w:r>
    </w:p>
    <w:p>
      <w:r>
        <w:pict>
          <v:rect style="width:0;height:1.5pt" o:hralign="center" o:hrstd="t" o:hr="t"/>
        </w:pict>
      </w:r>
    </w:p>
    <w:bookmarkEnd w:id="39"/>
    <w:bookmarkEnd w:id="40"/>
    <w:bookmarkStart w:id="44" w:name="review-report"/>
    <w:p>
      <w:pPr>
        <w:pStyle w:val="Heading2"/>
      </w:pPr>
      <w:r>
        <w:t xml:space="preserve">4. Review &amp; Report</w:t>
      </w:r>
    </w:p>
    <w:bookmarkStart w:id="41" w:name="emission-hotspots"/>
    <w:p>
      <w:pPr>
        <w:pStyle w:val="Heading3"/>
      </w:pPr>
      <w:r>
        <w:t xml:space="preserve">4.1. Emission Hotspots</w:t>
      </w:r>
    </w:p>
    <w:p>
      <w:pPr>
        <w:pStyle w:val="FirstParagraph"/>
      </w:pPr>
      <w:r>
        <w:t xml:space="preserve">The analysis identifies the following key emission hotspots for \'rtuzhygfwl\':</w:t>
      </w:r>
    </w:p>
    <w:p>
      <w:pPr>
        <w:numPr>
          <w:ilvl w:val="0"/>
          <w:numId w:val="1019"/>
        </w:numPr>
        <w:pStyle w:val="Compact"/>
      </w:pPr>
      <w:r>
        <w:rPr>
          <w:bCs/>
          <w:b/>
        </w:rPr>
        <w:t xml:space="preserve">Use of Sold Products (30.0 kgCO2e):</w:t>
      </w:r>
      <w:r>
        <w:t xml:space="preserve"> </w:t>
      </w:r>
      <w:r>
        <w:t xml:space="preserve">This is the single largest contributor, representing approximately 43.7% of the total footprint. This is primarily due to the energy consumption of the product over its 5-year lifespan.</w:t>
      </w:r>
    </w:p>
    <w:p>
      <w:pPr>
        <w:numPr>
          <w:ilvl w:val="0"/>
          <w:numId w:val="1019"/>
        </w:numPr>
        <w:pStyle w:val="Compact"/>
      </w:pPr>
      <w:r>
        <w:rPr>
          <w:bCs/>
          <w:b/>
        </w:rPr>
        <w:t xml:space="preserve">Downstream Transportation &amp; Distribution (20.0 kgCO2e):</w:t>
      </w:r>
      <w:r>
        <w:t xml:space="preserve"> </w:t>
      </w:r>
      <w:r>
        <w:t xml:space="preserve">Last-mile delivery accounts for a substantial portion (29.1%) of the footprint, highlighting logistics as a critical area for optimization.</w:t>
      </w:r>
    </w:p>
    <w:p>
      <w:pPr>
        <w:numPr>
          <w:ilvl w:val="0"/>
          <w:numId w:val="1019"/>
        </w:numPr>
        <w:pStyle w:val="Compact"/>
      </w:pPr>
      <w:r>
        <w:rPr>
          <w:bCs/>
          <w:b/>
        </w:rPr>
        <w:t xml:space="preserve">Purchased Goods and Services (Materials) (16.7 kgCO2e):</w:t>
      </w:r>
      <w:r>
        <w:t xml:space="preserve"> </w:t>
      </w:r>
      <w:r>
        <w:t xml:space="preserve">Material acquisition and processing contribute significantly (24.3%), emphasizing the importance of sustainable material sourcing and design. The Aluminum Casing and PCB are particular contributors within this category.</w:t>
      </w:r>
    </w:p>
    <w:p>
      <w:pPr>
        <w:numPr>
          <w:ilvl w:val="0"/>
          <w:numId w:val="1019"/>
        </w:numPr>
        <w:pStyle w:val="Compact"/>
      </w:pPr>
      <w:r>
        <w:rPr>
          <w:bCs/>
          <w:b/>
        </w:rPr>
        <w:t xml:space="preserve">Purchased Electricity (Production) (3.6 kgCO2e):</w:t>
      </w:r>
      <w:r>
        <w:t xml:space="preserve"> </w:t>
      </w:r>
      <w:r>
        <w:t xml:space="preserve">While significant, the high renewable energy usage (60%) at the production facility considerably mitigates this impact. Without it, this category would be much higher.</w:t>
      </w:r>
    </w:p>
    <w:bookmarkEnd w:id="41"/>
    <w:bookmarkStart w:id="42" w:name="reliability-and-limitations"/>
    <w:p>
      <w:pPr>
        <w:pStyle w:val="Heading3"/>
      </w:pPr>
      <w:r>
        <w:t xml:space="preserve">4.2. Reliability and Limitations</w:t>
      </w:r>
    </w:p>
    <w:p>
      <w:pPr>
        <w:pStyle w:val="FirstParagraph"/>
      </w:pPr>
      <w:r>
        <w:t xml:space="preserve">The reliability of this report is high due to the use of specific Bill of Materials data and adherence to the GHG Protocol. However, some limitations exist:</w:t>
      </w:r>
    </w:p>
    <w:p>
      <w:pPr>
        <w:numPr>
          <w:ilvl w:val="0"/>
          <w:numId w:val="1020"/>
        </w:numPr>
        <w:pStyle w:val="Compact"/>
      </w:pPr>
      <w:r>
        <w:rPr>
          <w:bCs/>
          <w:b/>
        </w:rPr>
        <w:t xml:space="preserve">Emission Factors:</w:t>
      </w:r>
      <w:r>
        <w:t xml:space="preserve"> </w:t>
      </w:r>
      <w:r>
        <w:t xml:space="preserve">Generic industry-average emission factors were used for electricity grids, transportation, and End-of-Life scenarios where specific supplier data was unavailable. While representative, product-specific or region-specific factors could refine accuracy further.</w:t>
      </w:r>
    </w:p>
    <w:p>
      <w:pPr>
        <w:numPr>
          <w:ilvl w:val="0"/>
          <w:numId w:val="1020"/>
        </w:numPr>
        <w:pStyle w:val="Compact"/>
      </w:pPr>
      <w:r>
        <w:rPr>
          <w:bCs/>
          <w:b/>
        </w:rPr>
        <w:t xml:space="preserve">Transport Mode/Delivery Type:</w:t>
      </w:r>
      <w:r>
        <w:t xml:space="preserve"> </w:t>
      </w:r>
      <w:r>
        <w:t xml:space="preserve">Assumed modes were used for "Select Mode" and "Delivery Type" due to their generic nature in the parameters. More specific logistics data would enhance precision.</w:t>
      </w:r>
    </w:p>
    <w:p>
      <w:pPr>
        <w:numPr>
          <w:ilvl w:val="0"/>
          <w:numId w:val="1020"/>
        </w:numPr>
        <w:pStyle w:val="Compact"/>
      </w:pPr>
      <w:r>
        <w:rPr>
          <w:bCs/>
          <w:b/>
        </w:rPr>
        <w:t xml:space="preserve">Circular Programs Quantification:</w:t>
      </w:r>
      <w:r>
        <w:t xml:space="preserve"> </w:t>
      </w:r>
      <w:r>
        <w:t xml:space="preserve">While the active take-back program is noted, the exact emission benefits (e.g., precise displacement factors for secondary materials) are based on conservative estimates due to a lack of highly specific data.</w:t>
      </w:r>
    </w:p>
    <w:bookmarkEnd w:id="42"/>
    <w:bookmarkStart w:id="43" w:name="key-insights-and-recommendations"/>
    <w:p>
      <w:pPr>
        <w:pStyle w:val="Heading3"/>
      </w:pPr>
      <w:r>
        <w:t xml:space="preserve">4.3. Key Insights and Recommendations</w:t>
      </w:r>
    </w:p>
    <w:p>
      <w:pPr>
        <w:pStyle w:val="FirstParagraph"/>
      </w:pPr>
      <w:r>
        <w:t xml:space="preserve">Based on this PCF analysis, olokvzjjgk can focus on the following areas for impact reduction:</w:t>
      </w:r>
    </w:p>
    <w:p>
      <w:pPr>
        <w:numPr>
          <w:ilvl w:val="0"/>
          <w:numId w:val="1021"/>
        </w:numPr>
        <w:pStyle w:val="Compact"/>
      </w:pPr>
      <w:r>
        <w:rPr>
          <w:bCs/>
          <w:b/>
        </w:rPr>
        <w:t xml:space="preserve">Reduce Use Phase Energy Consumption:</w:t>
      </w:r>
      <w:r>
        <w:t xml:space="preserve"> </w:t>
      </w:r>
      <w:r>
        <w:t xml:space="preserve">Invest in energy-efficient design for \'rtuzhygfwl\' to lower electricity consumption during its lifespan. Promote user awareness for energy-saving practices.</w:t>
      </w:r>
    </w:p>
    <w:p>
      <w:pPr>
        <w:numPr>
          <w:ilvl w:val="0"/>
          <w:numId w:val="1021"/>
        </w:numPr>
        <w:pStyle w:val="Compact"/>
      </w:pPr>
      <w:r>
        <w:rPr>
          <w:bCs/>
          <w:b/>
        </w:rPr>
        <w:t xml:space="preserve">Optimize Downstream Logistics:</w:t>
      </w:r>
      <w:r>
        <w:t xml:space="preserve"> </w:t>
      </w:r>
      <w:r>
        <w:t xml:space="preserve">Explore more efficient last-mile delivery options, such as electric vehicles, optimized routing, or local distribution hubs, to reduce the high emissions from downstream transportation.</w:t>
      </w:r>
    </w:p>
    <w:p>
      <w:pPr>
        <w:numPr>
          <w:ilvl w:val="0"/>
          <w:numId w:val="1021"/>
        </w:numPr>
        <w:pStyle w:val="Compact"/>
      </w:pPr>
      <w:r>
        <w:rPr>
          <w:bCs/>
          <w:b/>
        </w:rPr>
        <w:t xml:space="preserve">Enhance Sustainable Sourcing and Design:</w:t>
      </w:r>
      <w:r>
        <w:t xml:space="preserve"> </w:t>
      </w:r>
      <w:r>
        <w:t xml:space="preserve">Investigate opportunities to use lower-carbon materials, increase recycled content in the Aluminum Casing and Plastic Housing, and optimize PCB manufacturing processes to reduce upstream material impacts.</w:t>
      </w:r>
    </w:p>
    <w:p>
      <w:pPr>
        <w:numPr>
          <w:ilvl w:val="0"/>
          <w:numId w:val="1021"/>
        </w:numPr>
        <w:pStyle w:val="Compact"/>
      </w:pPr>
      <w:r>
        <w:rPr>
          <w:bCs/>
          <w:b/>
        </w:rPr>
        <w:t xml:space="preserve">Maximize Renewable Energy in Production:</w:t>
      </w:r>
      <w:r>
        <w:t xml:space="preserve"> </w:t>
      </w:r>
      <w:r>
        <w:t xml:space="preserve">Continue and expand the use of renewable energy at production facilities, potentially aiming for 100% renewable electricity.</w:t>
      </w:r>
    </w:p>
    <w:p>
      <w:pPr>
        <w:numPr>
          <w:ilvl w:val="0"/>
          <w:numId w:val="1021"/>
        </w:numPr>
        <w:pStyle w:val="Compact"/>
      </w:pPr>
      <w:r>
        <w:rPr>
          <w:bCs/>
          <w:b/>
        </w:rPr>
        <w:t xml:space="preserve">Strengthen Circularity:</w:t>
      </w:r>
      <w:r>
        <w:t xml:space="preserve"> </w:t>
      </w:r>
      <w:r>
        <w:t xml:space="preserve">Further develop and promote the take-back programs to ensure maximum material recovery and explore opportunities for product refurbishment or remanufacturing to extend lifespan.</w:t>
      </w:r>
    </w:p>
    <w:p>
      <w:pPr>
        <w:pStyle w:val="FirstParagraph"/>
      </w:pPr>
      <w:r>
        <w:t xml:space="preserve">Confidential - Internal Use Only</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rtuzhygfwl</dc:title>
  <dc:creator/>
  <dc:description>Detailed Product Carbon Footprint (PCF) analysis report for rtuzhygfwl by hpknxeohwi, Senior Sustainability Consultant at olokvzjjgk, following GHG Protocol standards.</dc:description>
  <dc:language>en</dc:language>
  <cp:keywords/>
  <dcterms:created xsi:type="dcterms:W3CDTF">2026-07-15T13:29:10Z</dcterms:created>
  <dcterms:modified xsi:type="dcterms:W3CDTF">2026-07-15T13:29:10Z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