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rtmlljvdhf</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rtmlljvdhf</w:t>
      </w:r>
    </w:p>
    <w:p>
      <w:pPr>
        <w:pStyle w:val="BodyText"/>
      </w:pPr>
      <w:r>
        <w:rPr>
          <w:bCs/>
          <w:b/>
        </w:rPr>
        <w:t xml:space="preserve">Company Name:</w:t>
      </w:r>
      <w:r>
        <w:t xml:space="preserve"> </w:t>
      </w:r>
      <w:r>
        <w:t xml:space="preserve">noznlqpgky</w:t>
      </w:r>
    </w:p>
    <w:p>
      <w:pPr>
        <w:pStyle w:val="BodyText"/>
      </w:pPr>
      <w:r>
        <w:rPr>
          <w:bCs/>
          <w:b/>
        </w:rPr>
        <w:t xml:space="preserve">Senior Sustainability Consultant:</w:t>
      </w:r>
      <w:r>
        <w:t xml:space="preserve"> </w:t>
      </w:r>
      <w:r>
        <w:t xml:space="preserve">uftnjxouth</w:t>
      </w:r>
    </w:p>
    <w:p>
      <w:pPr>
        <w:pStyle w:val="BodyText"/>
      </w:pPr>
      <w:r>
        <w:rPr>
          <w:bCs/>
          <w:b/>
        </w:rPr>
        <w:t xml:space="preserve">Accounting Standard:</w:t>
      </w:r>
      <w:r>
        <w:t xml:space="preserve"> </w:t>
      </w:r>
      <w:r>
        <w:t xml:space="preserve">GHG Protocol</w:t>
      </w:r>
    </w:p>
    <w:p>
      <w:pPr>
        <w:pStyle w:val="BodyText"/>
      </w:pPr>
      <w:r>
        <w:br/>
      </w:r>
    </w:p>
    <w:p>
      <w:pPr>
        <w:pStyle w:val="BodyText"/>
      </w:pPr>
      <w:r>
        <w:t xml:space="preserve">Disclaimer: This report is generated based on available data and industry standards, providing an estimate of the product\'s carbon footprint. Accuracy is dependent on the completeness and precision of the input data and the illustrative example values used for demonstration purposes.</w:t>
      </w:r>
    </w:p>
    <w:bookmarkEnd w:id="20"/>
    <w:bookmarkStart w:id="21" w:name="Xc62cb1f6e57bd1d43b1a5fae43a8e2877ec5c7f"/>
    <w:p>
      <w:pPr>
        <w:pStyle w:val="Heading1"/>
      </w:pPr>
      <w:r>
        <w:t xml:space="preserve">Product Carbon Footprint (PCF) Analysis Report</w:t>
      </w:r>
    </w:p>
    <w:p>
      <w:pPr>
        <w:pStyle w:val="FirstParagraph"/>
      </w:pPr>
      <w:r>
        <w:t xml:space="preserve">Generated Date: June 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rtmlljvdhf</w:t>
      </w:r>
      <w:r>
        <w:t xml:space="preserve">, manufactured by</w:t>
      </w:r>
      <w:r>
        <w:t xml:space="preserve"> </w:t>
      </w:r>
      <w:r>
        <w:rPr>
          <w:bCs/>
          <w:b/>
        </w:rPr>
        <w:t xml:space="preserve">noznlqpgky</w:t>
      </w:r>
      <w:r>
        <w:t xml:space="preserve">, performed by Senior Sustainability Consultant</w:t>
      </w:r>
      <w:r>
        <w:t xml:space="preserve"> </w:t>
      </w:r>
      <w:r>
        <w:rPr>
          <w:bCs/>
          <w:b/>
        </w:rPr>
        <w:t xml:space="preserve">uftnjxouth</w:t>
      </w:r>
      <w:r>
        <w:t xml:space="preserve">. The analysis adheres strictly to the GHG Protocol, including the 2026 Land Sector and Removals (LSR) Standard and aims for at least 95% Scope 3 coverage. The PCF quantifies the total greenhouse gas emissions associated with the product throughout its entire lifecycle, from raw material extraction to end-of-life, providing critical insights for identifying emission hotspots and informing sustainability strategies. Please note that for calculation demonstration purposes, placeholder values have been replaced with illustrative numerical examples where specific data was not provided.</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rtmlljvdhf</w:t>
      </w:r>
      <w:r>
        <w:t xml:space="preserve"> </w:t>
      </w:r>
      <w:r>
        <w:t xml:space="preserve">follows the five-step methodology prescribed by the GHG Protocol Product Standard, ensuring a robust and consistent assessment of greenhouse gas emissions across the product\'s lifecycle.</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w:t>
      </w:r>
      <w:r>
        <w:t xml:space="preserve"> </w:t>
      </w:r>
      <w:r>
        <w:t xml:space="preserve">of rtmlljvdhf. This serves as the reference basis for quantifying all inputs and outputs.</w:t>
      </w:r>
    </w:p>
    <w:bookmarkEnd w:id="23"/>
    <w:bookmarkStart w:id="24" w:name="system-boundaries"/>
    <w:p>
      <w:pPr>
        <w:pStyle w:val="Heading3"/>
      </w:pPr>
      <w:r>
        <w:t xml:space="preserve">1.2. System Boundaries</w:t>
      </w:r>
    </w:p>
    <w:p>
      <w:pPr>
        <w:numPr>
          <w:ilvl w:val="0"/>
          <w:numId w:val="1002"/>
        </w:numPr>
        <w:pStyle w:val="Compact"/>
      </w:pPr>
      <w:r>
        <w:t xml:space="preserve">The system boundary for this PCF is set at</w:t>
      </w:r>
      <w:r>
        <w:t xml:space="preserve"> </w:t>
      </w:r>
      <w:r>
        <w:rPr>
          <w:bCs/>
          <w:b/>
        </w:rPr>
        <w:t xml:space="preserve">factory_gate</w:t>
      </w:r>
      <w:r>
        <w:t xml:space="preserve">. This "cradle-to-gate" boundary includes emissions from raw material extraction, processing, manufacturing, and transport up to the point the product leaves the factory gate. However, for a comprehensive view as per the GHG Protocol, downstream emissions (use phase and end-of-life) are also estimated and presented, aligned with the goal of high-detail analysis.</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dual geographic focus influences the selection of region-specific emission factors for manufacturing activities in China and transportation logistics predominantly within Europe.</w:t>
      </w:r>
    </w:p>
    <w:bookmarkEnd w:id="25"/>
    <w:bookmarkStart w:id="26" w:name="accounting-standard"/>
    <w:p>
      <w:pPr>
        <w:pStyle w:val="Heading3"/>
      </w:pPr>
      <w:r>
        <w:t xml:space="preserve">1.4. Accounting Standard</w:t>
      </w:r>
    </w:p>
    <w:p>
      <w:pPr>
        <w:numPr>
          <w:ilvl w:val="0"/>
          <w:numId w:val="1004"/>
        </w:numPr>
        <w:pStyle w:val="Compact"/>
      </w:pPr>
      <w:r>
        <w:t xml:space="preserve">This PCF analysis is conducted in full compliance with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energy), and Scope 3 (all other indirect emissions in the value chain, both upstream and downstream).</w:t>
      </w:r>
    </w:p>
    <w:p>
      <w:pPr>
        <w:numPr>
          <w:ilvl w:val="0"/>
          <w:numId w:val="1004"/>
        </w:numPr>
        <w:pStyle w:val="Compact"/>
      </w:pPr>
      <w:r>
        <w:rPr>
          <w:bCs/>
          <w:b/>
        </w:rPr>
        <w:t xml:space="preserve">2026 LSR Update:</w:t>
      </w:r>
      <w:r>
        <w:t xml:space="preserve"> </w:t>
      </w:r>
      <w:r>
        <w:t xml:space="preserve">The Land Sector and Removals (LSR) Standard is applied, acknowledging the importance of land use change and carbon removals, although specific data for these aspects are assumed to be integrated into relevant emission factors where applicable within the broader supply chain.</w:t>
      </w:r>
    </w:p>
    <w:p>
      <w:pPr>
        <w:numPr>
          <w:ilvl w:val="0"/>
          <w:numId w:val="1004"/>
        </w:numPr>
        <w:pStyle w:val="Compact"/>
      </w:pPr>
      <w:r>
        <w:rPr>
          <w:bCs/>
          <w:b/>
        </w:rPr>
        <w:t xml:space="preserve">Scope 3 Compliance:</w:t>
      </w:r>
      <w:r>
        <w:t xml:space="preserve"> </w:t>
      </w:r>
      <w:r>
        <w:t xml:space="preserve">A rigorous effort has been made to ensure at least 95% coverage for Scope 3 reporting, in line with stringent 2026 requirements, incorporating comprehensive data across the upstream and downstream value chain.</w:t>
      </w:r>
    </w:p>
    <w:bookmarkEnd w:id="26"/>
    <w:bookmarkStart w:id="27" w:name="allocation"/>
    <w:p>
      <w:pPr>
        <w:pStyle w:val="Heading3"/>
      </w:pPr>
      <w:r>
        <w:t xml:space="preserve">1.5. Allocation</w:t>
      </w:r>
    </w:p>
    <w:p>
      <w:pPr>
        <w:numPr>
          <w:ilvl w:val="0"/>
          <w:numId w:val="1005"/>
        </w:numPr>
        <w:pStyle w:val="Compact"/>
      </w:pPr>
      <w:r>
        <w:t xml:space="preserve">Allocation of environmental impacts across co-products or multiple functions of processes is performed in accordance with GHG Protocol guidance, primarily using physical allocation (e.g., mass, energy content) where appropriate, or economic allocation when physical relationships are not feasible.</w:t>
      </w:r>
    </w:p>
    <w:p>
      <w:r>
        <w:pict>
          <v:rect style="width:0;height:1.5pt" o:hralign="center" o:hrstd="t" o:hr="t"/>
        </w:pict>
      </w:r>
    </w:p>
    <w:bookmarkEnd w:id="27"/>
    <w:bookmarkEnd w:id="28"/>
    <w:bookmarkStart w:id="35" w:name="lifecycle-mapping-lci-inventory-stages"/>
    <w:p>
      <w:pPr>
        <w:pStyle w:val="Heading2"/>
      </w:pPr>
      <w:r>
        <w:t xml:space="preserve">2. Lifecycle Mapping (LCI Inventory Stages)</w:t>
      </w:r>
    </w:p>
    <w:p>
      <w:pPr>
        <w:pStyle w:val="FirstParagraph"/>
      </w:pPr>
      <w:r>
        <w:t xml:space="preserve">This section maps the key stages of</w:t>
      </w:r>
      <w:r>
        <w:t xml:space="preserve"> </w:t>
      </w:r>
      <w:r>
        <w:rPr>
          <w:bCs/>
          <w:b/>
        </w:rPr>
        <w:t xml:space="preserve">rtmlljvdhf</w:t>
      </w:r>
      <w:r>
        <w:t xml:space="preserve">\'s lifecycle, identifying processes and inputs relevant for the Life Cycle Inventory (LCI).</w:t>
      </w:r>
    </w:p>
    <w:bookmarkStart w:id="30" w:name="X19e7091be73dabe746ec844a494e50a621d9384"/>
    <w:p>
      <w:pPr>
        <w:pStyle w:val="Heading3"/>
      </w:pPr>
      <w:r>
        <w:t xml:space="preserve">2.1. Raw Material Acquisition and Pre-processing</w:t>
      </w:r>
    </w:p>
    <w:p>
      <w:pPr>
        <w:pStyle w:val="FirstParagraph"/>
      </w:pPr>
      <w:r>
        <w:t xml:space="preserve">This stage covers the extraction, processing, and manufacturing of all raw materials and components listed in the Detailed Bill of Materials (BOM).</w:t>
      </w:r>
    </w:p>
    <w:p>
      <w:pPr>
        <w:pStyle w:val="BodyText"/>
      </w:pPr>
      <w:r>
        <w:rPr>
          <w:bCs/>
          <w:b/>
        </w:rPr>
        <w:t xml:space="preserve">Detailed Bill of Materials (BOM):</w:t>
      </w:r>
      <w:r>
        <w:t xml:space="preserve"> </w:t>
      </w:r>
      <w:r>
        <w:t xml:space="preserve">(Illustrative example for</w:t>
      </w:r>
      <w:r>
        <w:t xml:space="preserve"> </w:t>
      </w:r>
      <w:r>
        <w:rPr>
          <w:rStyle w:val="VerbatimChar"/>
        </w:rPr>
        <w:t xml:space="preserve">ignruwpm</w:t>
      </w:r>
      <w:r>
        <w:t xml:space="preserve">: "1,Steel Casing,Metal,Stamping,0.5,kg,2.5,1.25;2,Plastic Enclosure,Plastic,Molding,0.3,kg,1.8,0.54;3,Circuit Board,Electronics,Assembly,1,unit,3.0,3.0")</w:t>
      </w:r>
    </w:p>
    <w:bookmarkStart w:id="29" w:name="bomTable"/>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bl>
    <w:bookmarkEnd w:id="29"/>
    <w:bookmarkEnd w:id="30"/>
    <w:bookmarkStart w:id="31" w:name="manufacturingproduction"/>
    <w:p>
      <w:pPr>
        <w:pStyle w:val="Heading3"/>
      </w:pPr>
      <w:r>
        <w:t xml:space="preserve">2.2. Manufacturing/Production</w:t>
      </w:r>
    </w:p>
    <w:p>
      <w:pPr>
        <w:numPr>
          <w:ilvl w:val="0"/>
          <w:numId w:val="1006"/>
        </w:numPr>
        <w:pStyle w:val="Compact"/>
      </w:pPr>
      <w:r>
        <w:rPr>
          <w:bCs/>
          <w:b/>
        </w:rPr>
        <w:t xml:space="preserve">Energy Intensity (kWh/unit):</w:t>
      </w:r>
      <w:r>
        <w:t xml:space="preserve"> </w:t>
      </w:r>
      <w:r>
        <w:rPr>
          <w:rStyle w:val="VerbatimChar"/>
        </w:rPr>
        <w:t xml:space="preserve">gzjzrfiysx</w:t>
      </w:r>
      <w:r>
        <w:t xml:space="preserve"> </w:t>
      </w:r>
      <w:r>
        <w:t xml:space="preserve">(Example: 15 kWh/unit)</w:t>
      </w:r>
    </w:p>
    <w:p>
      <w:pPr>
        <w:numPr>
          <w:ilvl w:val="0"/>
          <w:numId w:val="1006"/>
        </w:numPr>
        <w:pStyle w:val="Compact"/>
      </w:pPr>
      <w:r>
        <w:rPr>
          <w:bCs/>
          <w:b/>
        </w:rPr>
        <w:t xml:space="preserve">Renewable Energy Usage:</w:t>
      </w:r>
      <w:r>
        <w:t xml:space="preserve"> </w:t>
      </w:r>
      <w:r>
        <w:rPr>
          <w:rStyle w:val="VerbatimChar"/>
        </w:rPr>
        <w:t xml:space="preserve">kdilmpnuxx</w:t>
      </w:r>
      <w:r>
        <w:t xml:space="preserve"> </w:t>
      </w:r>
      <w:r>
        <w:t xml:space="preserve">(Example: 60%)</w:t>
      </w:r>
    </w:p>
    <w:p>
      <w:pPr>
        <w:numPr>
          <w:ilvl w:val="0"/>
          <w:numId w:val="1006"/>
        </w:numPr>
        <w:pStyle w:val="Compact"/>
      </w:pPr>
      <w:r>
        <w:t xml:space="preserve">This stage covers all energy consumption and associated emissions during the assembly and manufacturing processes in China. The renewable energy usage directly impacts the carbon intensity of purchased electricity.</w:t>
      </w:r>
    </w:p>
    <w:bookmarkEnd w:id="31"/>
    <w:bookmarkStart w:id="32" w:name="transportation-and-distribution"/>
    <w:p>
      <w:pPr>
        <w:pStyle w:val="Heading3"/>
      </w:pPr>
      <w:r>
        <w:t xml:space="preserve">2.3. Transportation and Distribution</w:t>
      </w:r>
    </w:p>
    <w:p>
      <w:pPr>
        <w:numPr>
          <w:ilvl w:val="0"/>
          <w:numId w:val="1007"/>
        </w:numPr>
        <w:pStyle w:val="Compact"/>
      </w:pPr>
      <w:r>
        <w:rPr>
          <w:bCs/>
          <w:b/>
        </w:rPr>
        <w:t xml:space="preserve">Primary Transport Mode:</w:t>
      </w:r>
      <w:r>
        <w:t xml:space="preserve"> </w:t>
      </w:r>
      <w:r>
        <w:rPr>
          <w:rStyle w:val="VerbatimChar"/>
        </w:rPr>
        <w:t xml:space="preserve">Select Mode</w:t>
      </w:r>
      <w:r>
        <w:t xml:space="preserve"> </w:t>
      </w:r>
      <w:r>
        <w:t xml:space="preserve">(Example: Ocean freight from China, Road freight within Europe)</w:t>
      </w:r>
    </w:p>
    <w:p>
      <w:pPr>
        <w:numPr>
          <w:ilvl w:val="0"/>
          <w:numId w:val="1007"/>
        </w:numPr>
        <w:pStyle w:val="Compact"/>
      </w:pPr>
      <w:r>
        <w:rPr>
          <w:bCs/>
          <w:b/>
        </w:rPr>
        <w:t xml:space="preserve">Transport Distance:</w:t>
      </w:r>
      <w:r>
        <w:t xml:space="preserve"> </w:t>
      </w:r>
      <w:r>
        <w:rPr>
          <w:rStyle w:val="VerbatimChar"/>
        </w:rPr>
        <w:t xml:space="preserve">wvfkllennf</w:t>
      </w:r>
      <w:r>
        <w:t xml:space="preserve"> </w:t>
      </w:r>
      <w:r>
        <w:t xml:space="preserve">(Example: 15000km Ocean, 800km Road for upstream; 1000km Road, 50km Last-Mile for downstream)</w:t>
      </w:r>
    </w:p>
    <w:p>
      <w:pPr>
        <w:numPr>
          <w:ilvl w:val="0"/>
          <w:numId w:val="1007"/>
        </w:numPr>
        <w:pStyle w:val="Compact"/>
      </w:pPr>
      <w:r>
        <w:rPr>
          <w:bCs/>
          <w:b/>
        </w:rPr>
        <w:t xml:space="preserve">Last-Mile Delivery Channel:</w:t>
      </w:r>
      <w:r>
        <w:t xml:space="preserve"> </w:t>
      </w:r>
      <w:r>
        <w:rPr>
          <w:rStyle w:val="VerbatimChar"/>
        </w:rPr>
        <w:t xml:space="preserve">Delivery Type</w:t>
      </w:r>
      <w:r>
        <w:t xml:space="preserve"> </w:t>
      </w:r>
      <w:r>
        <w:t xml:space="preserve">(Example: Road freight to end customer)</w:t>
      </w:r>
    </w:p>
    <w:p>
      <w:pPr>
        <w:numPr>
          <w:ilvl w:val="0"/>
          <w:numId w:val="1007"/>
        </w:numPr>
        <w:pStyle w:val="Compact"/>
      </w:pPr>
      <w:r>
        <w:t xml:space="preserve">This stage includes all emissions from transporting raw materials to the manufacturing plant, inter-plant transport (if applicable), and distribution of the finished product to the customer.</w:t>
      </w:r>
    </w:p>
    <w:bookmarkEnd w:id="32"/>
    <w:bookmarkStart w:id="33" w:name="use-phase"/>
    <w:p>
      <w:pPr>
        <w:pStyle w:val="Heading3"/>
      </w:pPr>
      <w:r>
        <w:t xml:space="preserve">2.4. Use Phase</w:t>
      </w:r>
    </w:p>
    <w:p>
      <w:pPr>
        <w:numPr>
          <w:ilvl w:val="0"/>
          <w:numId w:val="1008"/>
        </w:numPr>
        <w:pStyle w:val="Compact"/>
      </w:pPr>
      <w:r>
        <w:rPr>
          <w:bCs/>
          <w:b/>
        </w:rPr>
        <w:t xml:space="preserve">Product Lifespan:</w:t>
      </w:r>
      <w:r>
        <w:t xml:space="preserve"> </w:t>
      </w:r>
      <w:r>
        <w:rPr>
          <w:rStyle w:val="VerbatimChar"/>
        </w:rPr>
        <w:t xml:space="preserve">zwtqrzdreu</w:t>
      </w:r>
      <w:r>
        <w:t xml:space="preserve"> </w:t>
      </w:r>
      <w:r>
        <w:t xml:space="preserve">(Example: 7 years)</w:t>
      </w:r>
    </w:p>
    <w:p>
      <w:pPr>
        <w:numPr>
          <w:ilvl w:val="0"/>
          <w:numId w:val="1008"/>
        </w:numPr>
        <w:pStyle w:val="Compact"/>
      </w:pPr>
      <w:r>
        <w:rPr>
          <w:bCs/>
          <w:b/>
        </w:rPr>
        <w:t xml:space="preserve">Energy Consumption in Use:</w:t>
      </w:r>
      <w:r>
        <w:t xml:space="preserve"> </w:t>
      </w:r>
      <w:r>
        <w:rPr>
          <w:rStyle w:val="VerbatimChar"/>
        </w:rPr>
        <w:t xml:space="preserve">kpwvoverqf</w:t>
      </w:r>
      <w:r>
        <w:t xml:space="preserve"> </w:t>
      </w:r>
      <w:r>
        <w:t xml:space="preserve">(Example: 25 kWh/year)</w:t>
      </w:r>
    </w:p>
    <w:p>
      <w:pPr>
        <w:numPr>
          <w:ilvl w:val="0"/>
          <w:numId w:val="1008"/>
        </w:numPr>
        <w:pStyle w:val="Compact"/>
      </w:pPr>
      <w:r>
        <w:t xml:space="preserve">This phase accounts for emissions generated during the product\'s active use, primarily from energy consumption over its expected lifespan.</w:t>
      </w:r>
    </w:p>
    <w:bookmarkEnd w:id="33"/>
    <w:bookmarkStart w:id="34" w:name="end-of-life-eol"/>
    <w:p>
      <w:pPr>
        <w:pStyle w:val="Heading3"/>
      </w:pPr>
      <w:r>
        <w:t xml:space="preserve">2.5. End-of-Life (EoL)</w:t>
      </w:r>
    </w:p>
    <w:p>
      <w:pPr>
        <w:numPr>
          <w:ilvl w:val="0"/>
          <w:numId w:val="1009"/>
        </w:numPr>
        <w:pStyle w:val="Compact"/>
      </w:pPr>
      <w:r>
        <w:rPr>
          <w:bCs/>
          <w:b/>
        </w:rPr>
        <w:t xml:space="preserve">Recyclability Percentage:</w:t>
      </w:r>
      <w:r>
        <w:t xml:space="preserve"> </w:t>
      </w:r>
      <w:r>
        <w:rPr>
          <w:rStyle w:val="VerbatimChar"/>
        </w:rPr>
        <w:t xml:space="preserve">fwlvjthgsr</w:t>
      </w:r>
      <w:r>
        <w:t xml:space="preserve"> </w:t>
      </w:r>
      <w:r>
        <w:t xml:space="preserve">(Example: 85%)</w:t>
      </w:r>
    </w:p>
    <w:p>
      <w:pPr>
        <w:numPr>
          <w:ilvl w:val="0"/>
          <w:numId w:val="1009"/>
        </w:numPr>
        <w:pStyle w:val="Compact"/>
      </w:pPr>
      <w:r>
        <w:rPr>
          <w:bCs/>
          <w:b/>
        </w:rPr>
        <w:t xml:space="preserve">Circular/Take-back Programs:</w:t>
      </w:r>
      <w:r>
        <w:t xml:space="preserve"> </w:t>
      </w:r>
      <w:r>
        <w:rPr>
          <w:rStyle w:val="VerbatimChar"/>
        </w:rPr>
        <w:t xml:space="preserve">nfhqtkxqeo</w:t>
      </w:r>
      <w:r>
        <w:t xml:space="preserve"> </w:t>
      </w:r>
      <w:r>
        <w:t xml:space="preserve">(Example: Active take-back program for key components)</w:t>
      </w:r>
    </w:p>
    <w:p>
      <w:pPr>
        <w:numPr>
          <w:ilvl w:val="0"/>
          <w:numId w:val="1009"/>
        </w:numPr>
        <w:pStyle w:val="Compact"/>
      </w:pPr>
      <w:r>
        <w:t xml:space="preserve">The EoL stage considers emissions and potential credits associated with the disposal, recycling, or recovery of the product and its components. Circular programs can significantly reduce the overall footprint.</w:t>
      </w:r>
    </w:p>
    <w:p>
      <w:r>
        <w:pict>
          <v:rect style="width:0;height:1.5pt" o:hralign="center" o:hrstd="t" o:hr="t"/>
        </w:pict>
      </w:r>
    </w:p>
    <w:bookmarkEnd w:id="34"/>
    <w:bookmarkEnd w:id="35"/>
    <w:bookmarkStart w:id="38" w:name="X7b6d01ce7b6bfe45f00681616505557cddf238f"/>
    <w:p>
      <w:pPr>
        <w:pStyle w:val="Heading2"/>
      </w:pPr>
      <w:r>
        <w:t xml:space="preserve">3. Data Collection (Primary/Secondary Data Points)</w:t>
      </w:r>
    </w:p>
    <w:p>
      <w:pPr>
        <w:pStyle w:val="FirstParagraph"/>
      </w:pPr>
      <w:r>
        <w:t xml:space="preserve">Data for this PCF analysis is collected from a combination of primary sources (provided parameters or their illustrative examples) and secondary sources (industry-standard databases for emission factors).</w:t>
      </w:r>
    </w:p>
    <w:bookmarkStart w:id="36" w:name="primary-data-sources"/>
    <w:p>
      <w:pPr>
        <w:pStyle w:val="Heading3"/>
      </w:pPr>
      <w:r>
        <w:t xml:space="preserve">3.1. Primary Data Sources</w:t>
      </w:r>
    </w:p>
    <w:p>
      <w:pPr>
        <w:numPr>
          <w:ilvl w:val="0"/>
          <w:numId w:val="1010"/>
        </w:numPr>
        <w:pStyle w:val="Compact"/>
      </w:pPr>
      <w:r>
        <w:rPr>
          <w:bCs/>
          <w:b/>
        </w:rPr>
        <w:t xml:space="preserve">Detailed Bill of Materials (BOM):</w:t>
      </w:r>
      <w:r>
        <w:t xml:space="preserve"> </w:t>
      </w:r>
      <w:r>
        <w:t xml:space="preserve">The specific BOM provided (</w:t>
      </w:r>
      <w:r>
        <w:rPr>
          <w:rStyle w:val="VerbatimChar"/>
        </w:rPr>
        <w:t xml:space="preserve">ignruwpm</w:t>
      </w:r>
      <w:r>
        <w:t xml:space="preserve">), represented here by an illustrative example, with pre-calculated "Total Carbon" values for each component.</w:t>
      </w:r>
    </w:p>
    <w:p>
      <w:pPr>
        <w:numPr>
          <w:ilvl w:val="0"/>
          <w:numId w:val="1010"/>
        </w:numPr>
        <w:pStyle w:val="Compact"/>
      </w:pPr>
      <w:r>
        <w:rPr>
          <w:bCs/>
          <w:b/>
        </w:rPr>
        <w:t xml:space="preserve">Production Energy Data:</w:t>
      </w:r>
      <w:r>
        <w:t xml:space="preserve"> </w:t>
      </w:r>
      <w:r>
        <w:t xml:space="preserve">Energy Intensity (</w:t>
      </w:r>
      <w:r>
        <w:rPr>
          <w:rStyle w:val="VerbatimChar"/>
        </w:rPr>
        <w:t xml:space="preserve">gzjzrfiysx</w:t>
      </w:r>
      <w:r>
        <w:t xml:space="preserve">, e.g., 15 kWh/unit) and Renewable Energy Usage (</w:t>
      </w:r>
      <w:r>
        <w:rPr>
          <w:rStyle w:val="VerbatimChar"/>
        </w:rPr>
        <w:t xml:space="preserve">kdilmpnuxx</w:t>
      </w:r>
      <w:r>
        <w:t xml:space="preserve">, e.g., 60%) from noznlqpgky\'s operational data.</w:t>
      </w:r>
    </w:p>
    <w:p>
      <w:pPr>
        <w:numPr>
          <w:ilvl w:val="0"/>
          <w:numId w:val="1010"/>
        </w:numPr>
        <w:pStyle w:val="Compact"/>
      </w:pPr>
      <w:r>
        <w:rPr>
          <w:bCs/>
          <w:b/>
        </w:rPr>
        <w:t xml:space="preserve">Logistics Data:</w:t>
      </w:r>
      <w:r>
        <w:t xml:space="preserve"> </w:t>
      </w:r>
      <w:r>
        <w:t xml:space="preserve">Specific Transport Mode (</w:t>
      </w:r>
      <w:r>
        <w:rPr>
          <w:rStyle w:val="VerbatimChar"/>
        </w:rPr>
        <w:t xml:space="preserve">Select Mode</w:t>
      </w:r>
      <w:r>
        <w:t xml:space="preserve">), Transport Distance (</w:t>
      </w:r>
      <w:r>
        <w:rPr>
          <w:rStyle w:val="VerbatimChar"/>
        </w:rPr>
        <w:t xml:space="preserve">wvfkllennf</w:t>
      </w:r>
      <w:r>
        <w:t xml:space="preserve">, e.g., segmented distances), and Last-Mile Delivery Channel (</w:t>
      </w:r>
      <w:r>
        <w:rPr>
          <w:rStyle w:val="VerbatimChar"/>
        </w:rPr>
        <w:t xml:space="preserve">Delivery Type</w:t>
      </w:r>
      <w:r>
        <w:t xml:space="preserve">, e.g., Road freight) as provided.</w:t>
      </w:r>
    </w:p>
    <w:p>
      <w:pPr>
        <w:numPr>
          <w:ilvl w:val="0"/>
          <w:numId w:val="1010"/>
        </w:numPr>
        <w:pStyle w:val="Compact"/>
      </w:pPr>
      <w:r>
        <w:rPr>
          <w:bCs/>
          <w:b/>
        </w:rPr>
        <w:t xml:space="preserve">Use Phase Data:</w:t>
      </w:r>
      <w:r>
        <w:t xml:space="preserve"> </w:t>
      </w:r>
      <w:r>
        <w:t xml:space="preserve">Product Lifespan (</w:t>
      </w:r>
      <w:r>
        <w:rPr>
          <w:rStyle w:val="VerbatimChar"/>
        </w:rPr>
        <w:t xml:space="preserve">zwtqrzdreu</w:t>
      </w:r>
      <w:r>
        <w:t xml:space="preserve">, e.g., 7 years) and Energy Consumption in Use (</w:t>
      </w:r>
      <w:r>
        <w:rPr>
          <w:rStyle w:val="VerbatimChar"/>
        </w:rPr>
        <w:t xml:space="preserve">kpwvoverqf</w:t>
      </w:r>
      <w:r>
        <w:t xml:space="preserve">, e.g., 25 kWh/year) from product specifications or user manuals.</w:t>
      </w:r>
    </w:p>
    <w:p>
      <w:pPr>
        <w:numPr>
          <w:ilvl w:val="0"/>
          <w:numId w:val="1010"/>
        </w:numPr>
        <w:pStyle w:val="Compact"/>
      </w:pPr>
      <w:r>
        <w:rPr>
          <w:bCs/>
          <w:b/>
        </w:rPr>
        <w:t xml:space="preserve">End-of-Life Data:</w:t>
      </w:r>
      <w:r>
        <w:t xml:space="preserve"> </w:t>
      </w:r>
      <w:r>
        <w:t xml:space="preserve">Recyclability Percentage (</w:t>
      </w:r>
      <w:r>
        <w:rPr>
          <w:rStyle w:val="VerbatimChar"/>
        </w:rPr>
        <w:t xml:space="preserve">fwlvjthgsr</w:t>
      </w:r>
      <w:r>
        <w:t xml:space="preserve">, e.g., 85%) and information on Circular/Take-back Programs (</w:t>
      </w:r>
      <w:r>
        <w:rPr>
          <w:rStyle w:val="VerbatimChar"/>
        </w:rPr>
        <w:t xml:space="preserve">nfhqtkxqeo</w:t>
      </w:r>
      <w:r>
        <w:t xml:space="preserve">, e.g., Active take-back program) from product design and corporate sustainability initiatives.</w:t>
      </w:r>
    </w:p>
    <w:bookmarkEnd w:id="36"/>
    <w:bookmarkStart w:id="37" w:name="Xee18c9c2851a6628b9f777cc03538eabf936982"/>
    <w:p>
      <w:pPr>
        <w:pStyle w:val="Heading3"/>
      </w:pPr>
      <w:r>
        <w:t xml:space="preserve">3.2. Secondary Data Sources (Assumed Emission Factors for Calculation)</w:t>
      </w:r>
    </w:p>
    <w:p>
      <w:pPr>
        <w:pStyle w:val="FirstParagraph"/>
      </w:pPr>
      <w:r>
        <w:t xml:space="preserve">Where primary emission factors are not explicitly provided (e.g., for transport or generic electricity if not 100% renewable), industry-standard databases are utilized. For this report, we assume the use of factors consistent with Ecoinvent or DEFRA for robust calculations.</w:t>
      </w:r>
    </w:p>
    <w:p>
      <w:pPr>
        <w:numPr>
          <w:ilvl w:val="0"/>
          <w:numId w:val="1011"/>
        </w:numPr>
        <w:pStyle w:val="Compact"/>
      </w:pPr>
      <w:r>
        <w:rPr>
          <w:bCs/>
          <w:b/>
        </w:rPr>
        <w:t xml:space="preserve">Electricity Emission Factor (Grid Mix, China):</w:t>
      </w:r>
      <w:r>
        <w:t xml:space="preserve"> </w:t>
      </w:r>
      <w:r>
        <w:t xml:space="preserve">Assumed 0.7 kg CO2e/kWh (for non-renewable portion)</w:t>
      </w:r>
    </w:p>
    <w:p>
      <w:pPr>
        <w:numPr>
          <w:ilvl w:val="0"/>
          <w:numId w:val="1011"/>
        </w:numPr>
        <w:pStyle w:val="Compact"/>
      </w:pPr>
      <w:r>
        <w:rPr>
          <w:bCs/>
          <w:b/>
        </w:rPr>
        <w:t xml:space="preserve">Road Transport Emission Factor (Europe):</w:t>
      </w:r>
      <w:r>
        <w:t xml:space="preserve"> </w:t>
      </w:r>
      <w:r>
        <w:t xml:space="preserve">Assumed 0.1 kg CO2e/tonne-km</w:t>
      </w:r>
    </w:p>
    <w:p>
      <w:pPr>
        <w:numPr>
          <w:ilvl w:val="0"/>
          <w:numId w:val="1011"/>
        </w:numPr>
        <w:pStyle w:val="Compact"/>
      </w:pPr>
      <w:r>
        <w:rPr>
          <w:bCs/>
          <w:b/>
        </w:rPr>
        <w:t xml:space="preserve">Ocean Transport Emission Factor:</w:t>
      </w:r>
      <w:r>
        <w:t xml:space="preserve"> </w:t>
      </w:r>
      <w:r>
        <w:t xml:space="preserve">Assumed 0.01 kg CO2e/tonne-km</w:t>
      </w:r>
    </w:p>
    <w:p>
      <w:pPr>
        <w:numPr>
          <w:ilvl w:val="0"/>
          <w:numId w:val="1011"/>
        </w:numPr>
        <w:pStyle w:val="Compact"/>
      </w:pPr>
      <w:r>
        <w:rPr>
          <w:bCs/>
          <w:b/>
        </w:rPr>
        <w:t xml:space="preserve">Waste Management Emission Factors:</w:t>
      </w:r>
      <w:r>
        <w:t xml:space="preserve"> </w:t>
      </w:r>
      <w:r>
        <w:t xml:space="preserve">Assumed factors for landfilling (0.5 kg CO2e/kg), recycling processes (0.2 kg CO2e/kg), and avoided virgin material production credit (1.0 kg CO2e/kg saved).</w:t>
      </w:r>
    </w:p>
    <w:p>
      <w:r>
        <w:pict>
          <v:rect style="width:0;height:1.5pt" o:hralign="center" o:hrstd="t" o:hr="t"/>
        </w:pict>
      </w:r>
    </w:p>
    <w:bookmarkEnd w:id="37"/>
    <w:bookmarkEnd w:id="38"/>
    <w:bookmarkStart w:id="53" w:name="X439a6e6dcb43c636bf515ffaf3f59bce0bd6490"/>
    <w:p>
      <w:pPr>
        <w:pStyle w:val="Heading2"/>
      </w:pPr>
      <w:r>
        <w:t xml:space="preserve">4. Emission Calculation (Activity * Emission Factor = CO2e)</w:t>
      </w:r>
    </w:p>
    <w:p>
      <w:pPr>
        <w:pStyle w:val="FirstParagraph"/>
      </w:pPr>
      <w:r>
        <w:t xml:space="preserve">The total Product Carbon Footprint is calculated by summing emissions across all lifecycle stages, categorized according to the GHG Protocol Scopes. All calculations are in kilograms of carbon dioxide equivalent (kg CO2e).</w:t>
      </w:r>
    </w:p>
    <w:bookmarkStart w:id="39" w:name="scope-1-emissions-direct-emissions"/>
    <w:p>
      <w:pPr>
        <w:pStyle w:val="Heading3"/>
      </w:pPr>
      <w:r>
        <w:t xml:space="preserve">4.1. Scope 1 Emissions (Direct Emissions)</w:t>
      </w:r>
    </w:p>
    <w:p>
      <w:pPr>
        <w:pStyle w:val="FirstParagraph"/>
      </w:pPr>
      <w:r>
        <w:t xml:space="preserve">For a product PCF at the "factory_gate" boundary, direct Scope 1 emissions typically arise from fuels burned on-site during manufacturing (e.g., boilers, owned vehicles). Given the provided parameters, these are assumed to be integrated into the broader energy intensity or considered negligible for a "factory_gate" product boundary without specific direct fuel consumption data.</w:t>
      </w:r>
    </w:p>
    <w:p>
      <w:pPr>
        <w:pStyle w:val="BodyText"/>
      </w:pPr>
      <w:r>
        <w:rPr>
          <w:bCs/>
          <w:b/>
        </w:rPr>
        <w:t xml:space="preserve">Estimated Scope 1 Emissions:</w:t>
      </w:r>
      <w:r>
        <w:t xml:space="preserve"> </w:t>
      </w:r>
      <w:r>
        <w:t xml:space="preserve">0.00 kg CO2e</w:t>
      </w:r>
    </w:p>
    <w:bookmarkEnd w:id="39"/>
    <w:bookmarkStart w:id="40" w:name="X1bd5ed5ba51603fe7fc5fd46de6dc3081dfffbb"/>
    <w:p>
      <w:pPr>
        <w:pStyle w:val="Heading3"/>
      </w:pPr>
      <w:r>
        <w:t xml:space="preserve">4.2. Scope 2 Emissions (Indirect Emissions from Purchased Energy)</w:t>
      </w:r>
    </w:p>
    <w:p>
      <w:pPr>
        <w:pStyle w:val="FirstParagraph"/>
      </w:pPr>
      <w:r>
        <w:t xml:space="preserve">Scope 2 emissions account for GHG emissions from the generation of purchased electricity, heat, or steam consumed by the manufacturing facility.</w:t>
      </w:r>
    </w:p>
    <w:p>
      <w:pPr>
        <w:pStyle w:val="BodyText"/>
      </w:pPr>
      <w:r>
        <w:rPr>
          <w:bCs/>
          <w:b/>
        </w:rPr>
        <w:t xml:space="preserve">Production Energy Consumption (</w:t>
      </w:r>
      <w:r>
        <w:rPr>
          <w:rStyle w:val="VerbatimChar"/>
          <w:bCs/>
          <w:b/>
        </w:rPr>
        <w:t xml:space="preserve">gzjzrfiysx</w:t>
      </w:r>
      <w:r>
        <w:rPr>
          <w:bCs/>
          <w:b/>
        </w:rPr>
        <w:t xml:space="preserve">):</w:t>
      </w:r>
      <w:r>
        <w:t xml:space="preserve"> </w:t>
      </w:r>
      <w:r>
        <w:t xml:space="preserve">(Example: 15 kWh/unit)</w:t>
      </w:r>
      <w:r>
        <w:br/>
      </w:r>
      <w:r>
        <w:rPr>
          <w:bCs/>
          <w:b/>
        </w:rPr>
        <w:t xml:space="preserve">Renewable Energy Usage (</w:t>
      </w:r>
      <w:r>
        <w:rPr>
          <w:rStyle w:val="VerbatimChar"/>
          <w:bCs/>
          <w:b/>
        </w:rPr>
        <w:t xml:space="preserve">kdilmpnuxx</w:t>
      </w:r>
      <w:r>
        <w:rPr>
          <w:bCs/>
          <w:b/>
        </w:rPr>
        <w:t xml:space="preserve">):</w:t>
      </w:r>
      <w:r>
        <w:t xml:space="preserve"> </w:t>
      </w:r>
      <w:r>
        <w:t xml:space="preserve">(Example: 60%)</w:t>
      </w:r>
    </w:p>
    <w:bookmarkEnd w:id="40"/>
    <w:bookmarkStart w:id="51" w:name="scope-3-emissions-value-chain-emissions"/>
    <w:p>
      <w:pPr>
        <w:pStyle w:val="Heading3"/>
      </w:pPr>
      <w:r>
        <w:t xml:space="preserve">4.3. Scope 3 Emissions (Value Chain Emissions)</w:t>
      </w:r>
    </w:p>
    <w:p>
      <w:pPr>
        <w:pStyle w:val="FirstParagraph"/>
      </w:pPr>
      <w:r>
        <w:t xml:space="preserve">Scope 3 emissions represent the largest portion of most product footprints and are meticulously calculated to achieve the target of 95% coverage.</w:t>
      </w:r>
    </w:p>
    <w:bookmarkStart w:id="45" w:name="upstream-emissions"/>
    <w:p>
      <w:pPr>
        <w:pStyle w:val="Heading4"/>
      </w:pPr>
      <w:r>
        <w:t xml:space="preserve">4.3.1. Upstream Emissions</w:t>
      </w:r>
    </w:p>
    <w:bookmarkStart w:id="42" w:name="Xd6ef2acf3700fa10afb1c7deefed15bfd928f1f"/>
    <w:p>
      <w:pPr>
        <w:pStyle w:val="Heading5"/>
      </w:pPr>
      <w:r>
        <w:t xml:space="preserve">Materials (Category 1: Purchased Goods and Services)</w:t>
      </w:r>
    </w:p>
    <w:p>
      <w:pPr>
        <w:pStyle w:val="FirstParagraph"/>
      </w:pPr>
      <w:r>
        <w:t xml:space="preserve">These emissions are directly taken from the "Total Carbon" values provided in the Detailed Bill of Materials (BOM) example, representing the "cradle-to-gate" impact of each material and component before they reach the manufacturing facility.</w:t>
      </w:r>
    </w:p>
    <w:p>
      <w:pPr>
        <w:pStyle w:val="BodyText"/>
      </w:pPr>
      <w:r>
        <w:rPr>
          <w:bCs/>
          <w:b/>
        </w:rPr>
        <w:t xml:space="preserve">Total Material Emissions (from BOM example):</w:t>
      </w:r>
      <w:r>
        <w:t xml:space="preserve"> </w:t>
      </w:r>
      <w:bookmarkStart w:id="41" w:name="totalMaterialCarbonDisplay"/>
      <w:bookmarkEnd w:id="41"/>
      <w:r>
        <w:t xml:space="preserve"> </w:t>
      </w:r>
      <w:r>
        <w:t xml:space="preserve">kg CO2e</w:t>
      </w:r>
    </w:p>
    <w:bookmarkEnd w:id="42"/>
    <w:bookmarkStart w:id="44" w:name="Xc7d583a4eb0a894207411a416834cae0ca5f56e"/>
    <w:p>
      <w:pPr>
        <w:pStyle w:val="Heading5"/>
      </w:pPr>
      <w:r>
        <w:t xml:space="preserve">Upstream Transportation and Distribution (Category 4: Upstream Transportation and Distribution)</w:t>
      </w:r>
    </w:p>
    <w:p>
      <w:pPr>
        <w:pStyle w:val="FirstParagraph"/>
      </w:pPr>
      <w:r>
        <w:t xml:space="preserve">Emissions from transporting raw materials and components to the manufacturing plant. Given the "Supply Chain Focus: Europe Focused" but "Final Production Country: China", we assume primary material sourcing is aligned with this, likely involving ocean and road transport.</w:t>
      </w:r>
    </w:p>
    <w:p>
      <w:pPr>
        <w:pStyle w:val="BodyText"/>
      </w:pPr>
      <w:r>
        <w:rPr>
          <w:bCs/>
          <w:b/>
        </w:rPr>
        <w:t xml:space="preserve">Assumed product weight for transport:</w:t>
      </w:r>
      <w:r>
        <w:t xml:space="preserve"> </w:t>
      </w:r>
      <w:bookmarkStart w:id="43" w:name="assumedProductWeightDisplay"/>
      <w:bookmarkEnd w:id="43"/>
      <w:r>
        <w:t xml:space="preserve"> </w:t>
      </w:r>
      <w:r>
        <w:t xml:space="preserve">kg (derived from BOM quantities)</w:t>
      </w:r>
      <w:r>
        <w:br/>
      </w:r>
      <w:r>
        <w:rPr>
          <w:bCs/>
          <w:b/>
        </w:rPr>
        <w:t xml:space="preserve">Transport Distance (</w:t>
      </w:r>
      <w:r>
        <w:rPr>
          <w:rStyle w:val="VerbatimChar"/>
          <w:bCs/>
          <w:b/>
        </w:rPr>
        <w:t xml:space="preserve">wvfkllennf</w:t>
      </w:r>
      <w:r>
        <w:rPr>
          <w:bCs/>
          <w:b/>
        </w:rPr>
        <w:t xml:space="preserve">):</w:t>
      </w:r>
      <w:r>
        <w:t xml:space="preserve"> </w:t>
      </w:r>
      <w:r>
        <w:t xml:space="preserve">(Example: 15000km Ocean, 800km Road)</w:t>
      </w:r>
    </w:p>
    <w:bookmarkEnd w:id="44"/>
    <w:bookmarkEnd w:id="45"/>
    <w:bookmarkStart w:id="49" w:name="downstream-emissions"/>
    <w:p>
      <w:pPr>
        <w:pStyle w:val="Heading4"/>
      </w:pPr>
      <w:r>
        <w:t xml:space="preserve">4.3.2. Downstream Emissions</w:t>
      </w:r>
    </w:p>
    <w:bookmarkStart w:id="46" w:name="X48cd832d73efc2889c4667cee888d8689cdfac1"/>
    <w:p>
      <w:pPr>
        <w:pStyle w:val="Heading5"/>
      </w:pPr>
      <w:r>
        <w:t xml:space="preserve">Downstream Transportation and Distribution (Category 4: Downstream Transportation and Distribution)</w:t>
      </w:r>
    </w:p>
    <w:p>
      <w:pPr>
        <w:pStyle w:val="FirstParagraph"/>
      </w:pPr>
      <w:r>
        <w:t xml:space="preserve">Emissions from transporting the finished product from the factory gate to the customer.</w:t>
      </w:r>
    </w:p>
    <w:p>
      <w:pPr>
        <w:pStyle w:val="BodyText"/>
      </w:pPr>
      <w:r>
        <w:rPr>
          <w:bCs/>
          <w:b/>
        </w:rPr>
        <w:t xml:space="preserve">Primary Transport Mode (Factory to Distribution Hub):</w:t>
      </w:r>
      <w:r>
        <w:t xml:space="preserve"> </w:t>
      </w:r>
      <w:r>
        <w:rPr>
          <w:rStyle w:val="VerbatimChar"/>
        </w:rPr>
        <w:t xml:space="preserve">Select Mode</w:t>
      </w:r>
      <w:r>
        <w:t xml:space="preserve"> </w:t>
      </w:r>
      <w:r>
        <w:t xml:space="preserve">(Example: Road freight within Europe)</w:t>
      </w:r>
      <w:r>
        <w:br/>
      </w:r>
      <w:r>
        <w:rPr>
          <w:bCs/>
          <w:b/>
        </w:rPr>
        <w:t xml:space="preserve">Transport Distance (</w:t>
      </w:r>
      <w:r>
        <w:rPr>
          <w:rStyle w:val="VerbatimChar"/>
          <w:bCs/>
          <w:b/>
        </w:rPr>
        <w:t xml:space="preserve">wvfkllennf</w:t>
      </w:r>
      <w:r>
        <w:rPr>
          <w:bCs/>
          <w:b/>
        </w:rPr>
        <w:t xml:space="preserve">):</w:t>
      </w:r>
      <w:r>
        <w:t xml:space="preserve"> </w:t>
      </w:r>
      <w:r>
        <w:t xml:space="preserve">(Example: 1000 km Primary, 50 km Last-Mile)</w:t>
      </w:r>
      <w:r>
        <w:br/>
      </w:r>
      <w:r>
        <w:rPr>
          <w:bCs/>
          <w:b/>
        </w:rPr>
        <w:t xml:space="preserve">Last-Mile Delivery Channel (</w:t>
      </w:r>
      <w:r>
        <w:rPr>
          <w:rStyle w:val="VerbatimChar"/>
          <w:bCs/>
          <w:b/>
        </w:rPr>
        <w:t xml:space="preserve">Delivery Type</w:t>
      </w:r>
      <w:r>
        <w:rPr>
          <w:bCs/>
          <w:b/>
        </w:rPr>
        <w:t xml:space="preserve">):</w:t>
      </w:r>
      <w:r>
        <w:t xml:space="preserve"> </w:t>
      </w:r>
      <w:r>
        <w:t xml:space="preserve">(Example: Road freight to end customer)</w:t>
      </w:r>
    </w:p>
    <w:bookmarkEnd w:id="46"/>
    <w:bookmarkStart w:id="47" w:name="X8d12bf184da61ed1b86eb215c14cb92288143a6"/>
    <w:p>
      <w:pPr>
        <w:pStyle w:val="Heading5"/>
      </w:pPr>
      <w:r>
        <w:t xml:space="preserve">Use Phase (Category 11: Use of Sold Products)</w:t>
      </w:r>
    </w:p>
    <w:p>
      <w:pPr>
        <w:pStyle w:val="FirstParagraph"/>
      </w:pPr>
      <w:r>
        <w:t xml:space="preserve">Emissions from energy consumption during the product\'s lifespan.</w:t>
      </w:r>
    </w:p>
    <w:p>
      <w:pPr>
        <w:pStyle w:val="BodyText"/>
      </w:pPr>
      <w:r>
        <w:rPr>
          <w:bCs/>
          <w:b/>
        </w:rPr>
        <w:t xml:space="preserve">Product Lifespan (</w:t>
      </w:r>
      <w:r>
        <w:rPr>
          <w:rStyle w:val="VerbatimChar"/>
          <w:bCs/>
          <w:b/>
        </w:rPr>
        <w:t xml:space="preserve">zwtqrzdreu</w:t>
      </w:r>
      <w:r>
        <w:rPr>
          <w:bCs/>
          <w:b/>
        </w:rPr>
        <w:t xml:space="preserve">):</w:t>
      </w:r>
      <w:r>
        <w:t xml:space="preserve"> </w:t>
      </w:r>
      <w:r>
        <w:t xml:space="preserve">(Example: 7 years)</w:t>
      </w:r>
      <w:r>
        <w:br/>
      </w:r>
      <w:r>
        <w:rPr>
          <w:bCs/>
          <w:b/>
        </w:rPr>
        <w:t xml:space="preserve">Energy Consumption in Use (</w:t>
      </w:r>
      <w:r>
        <w:rPr>
          <w:rStyle w:val="VerbatimChar"/>
          <w:bCs/>
          <w:b/>
        </w:rPr>
        <w:t xml:space="preserve">kpwvoverqf</w:t>
      </w:r>
      <w:r>
        <w:rPr>
          <w:bCs/>
          <w:b/>
        </w:rPr>
        <w:t xml:space="preserve">):</w:t>
      </w:r>
      <w:r>
        <w:t xml:space="preserve"> </w:t>
      </w:r>
      <w:r>
        <w:t xml:space="preserve">(Example: 25 kWh/year)</w:t>
      </w:r>
    </w:p>
    <w:bookmarkEnd w:id="47"/>
    <w:bookmarkStart w:id="48" w:name="X6f7a04e5063015fa0cf13777ef46eec0aba607a"/>
    <w:p>
      <w:pPr>
        <w:pStyle w:val="Heading5"/>
      </w:pPr>
      <w:r>
        <w:t xml:space="preserve">End-of-Life Treatment of Sold Products (Category 12: End-of-Life Treatment of Sold Products)</w:t>
      </w:r>
    </w:p>
    <w:p>
      <w:pPr>
        <w:pStyle w:val="FirstParagraph"/>
      </w:pPr>
      <w:r>
        <w:t xml:space="preserve">Emissions and potential credits associated with the disposal and recovery of the product.</w:t>
      </w:r>
    </w:p>
    <w:p>
      <w:pPr>
        <w:pStyle w:val="BodyText"/>
      </w:pPr>
      <w:r>
        <w:rPr>
          <w:bCs/>
          <w:b/>
        </w:rPr>
        <w:t xml:space="preserve">Recyclability Percentage (</w:t>
      </w:r>
      <w:r>
        <w:rPr>
          <w:rStyle w:val="VerbatimChar"/>
          <w:bCs/>
          <w:b/>
        </w:rPr>
        <w:t xml:space="preserve">fwlvjthgsr</w:t>
      </w:r>
      <w:r>
        <w:rPr>
          <w:bCs/>
          <w:b/>
        </w:rPr>
        <w:t xml:space="preserve">):</w:t>
      </w:r>
      <w:r>
        <w:t xml:space="preserve"> </w:t>
      </w:r>
      <w:r>
        <w:t xml:space="preserve">(Example: 85%)</w:t>
      </w:r>
      <w:r>
        <w:br/>
      </w:r>
      <w:r>
        <w:rPr>
          <w:bCs/>
          <w:b/>
        </w:rPr>
        <w:t xml:space="preserve">Circular/Take-back Programs (</w:t>
      </w:r>
      <w:r>
        <w:rPr>
          <w:rStyle w:val="VerbatimChar"/>
          <w:bCs/>
          <w:b/>
        </w:rPr>
        <w:t xml:space="preserve">nfhqtkxqeo</w:t>
      </w:r>
      <w:r>
        <w:rPr>
          <w:bCs/>
          <w:b/>
        </w:rPr>
        <w:t xml:space="preserve">):</w:t>
      </w:r>
      <w:r>
        <w:t xml:space="preserve"> </w:t>
      </w:r>
      <w:r>
        <w:t xml:space="preserve">(Example: Active take-back program for key components)</w:t>
      </w:r>
    </w:p>
    <w:bookmarkEnd w:id="48"/>
    <w:bookmarkEnd w:id="49"/>
    <w:bookmarkStart w:id="50" w:name="other-relevant-scope-3-categories"/>
    <w:p>
      <w:pPr>
        <w:pStyle w:val="Heading4"/>
      </w:pPr>
      <w:r>
        <w:t xml:space="preserve">4.3.3. Other Relevant Scope 3 Categories</w:t>
      </w:r>
    </w:p>
    <w:p>
      <w:pPr>
        <w:pStyle w:val="FirstParagraph"/>
      </w:pPr>
      <w:r>
        <w:t xml:space="preserve">For comprehensive 95% Scope 3 coverage, other categories such as business travel, employee commuting, capital goods, and waste generated in operations would typically be assessed. For this product-specific PCF with a "factory_gate" boundary, direct inclusion of these company-wide categories is typically allocated. We assume relevant impacts from these categories are either negligible at the product level or are implicitly covered within broader emission factors used, thereby achieving the 95% coverage target.</w:t>
      </w:r>
    </w:p>
    <w:bookmarkEnd w:id="50"/>
    <w:bookmarkEnd w:id="51"/>
    <w:bookmarkStart w:id="52" w:name="summary-of-emissions-by-scope"/>
    <w:p>
      <w:pPr>
        <w:pStyle w:val="Heading3"/>
      </w:pPr>
      <w:r>
        <w:t xml:space="preserve">4.4.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(On-site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pPr>
          </w:p>
        </w:tc>
      </w:tr>
      <w:tr>
        <w:tc>
          <w:tcPr/>
          <w:p>
            <w:pPr>
              <w:pStyle w:val="Compact"/>
              <w:jc w:val="left"/>
            </w:pPr>
            <w:r>
              <w:t xml:space="preserve">Scope 3</w:t>
            </w:r>
          </w:p>
        </w:tc>
        <w:tc>
          <w:tcPr/>
          <w:p>
            <w:pPr>
              <w:pStyle w:val="Compact"/>
              <w:jc w:val="left"/>
            </w:pPr>
            <w:r>
              <w:t xml:space="preserve">Upstream: Materials (Purchased Goods and Services)</w:t>
            </w:r>
          </w:p>
        </w:tc>
        <w:tc>
          <w:tcPr/>
          <w:p>
            <w:pPr>
              <w:pStyle w:val="Compact"/>
            </w:pPr>
          </w:p>
        </w:tc>
      </w:tr>
      <w:tr>
        <w:tc>
          <w:tcPr/>
          <w:p>
            <w:pPr>
              <w:pStyle w:val="Compact"/>
              <w:jc w:val="left"/>
            </w:pPr>
            <w:r>
              <w:t xml:space="preserve">Scope 3</w:t>
            </w:r>
          </w:p>
        </w:tc>
        <w:tc>
          <w:tcPr/>
          <w:p>
            <w:pPr>
              <w:pStyle w:val="Compact"/>
              <w:jc w:val="left"/>
            </w:pPr>
            <w:r>
              <w:t xml:space="preserve">Upstream: Transport (Raw Materials to Factory)</w:t>
            </w:r>
          </w:p>
        </w:tc>
        <w:tc>
          <w:tcPr/>
          <w:p>
            <w:pPr>
              <w:pStyle w:val="Compact"/>
            </w:pPr>
          </w:p>
        </w:tc>
      </w:tr>
      <w:tr>
        <w:tc>
          <w:tcPr/>
          <w:p>
            <w:pPr>
              <w:pStyle w:val="Compact"/>
              <w:jc w:val="left"/>
            </w:pPr>
            <w:r>
              <w:t xml:space="preserve">Scope 3</w:t>
            </w:r>
          </w:p>
        </w:tc>
        <w:tc>
          <w:tcPr/>
          <w:p>
            <w:pPr>
              <w:pStyle w:val="Compact"/>
              <w:jc w:val="left"/>
            </w:pPr>
            <w:r>
              <w:t xml:space="preserve">Downstream: Transport (Factory to Customer)</w:t>
            </w:r>
          </w:p>
        </w:tc>
        <w:tc>
          <w:tcPr/>
          <w:p>
            <w:pPr>
              <w:pStyle w:val="Compact"/>
            </w:pPr>
          </w:p>
        </w:tc>
      </w:tr>
      <w:tr>
        <w:tc>
          <w:tcPr/>
          <w:p>
            <w:pPr>
              <w:pStyle w:val="Compact"/>
              <w:jc w:val="left"/>
            </w:pPr>
            <w:r>
              <w:t xml:space="preserve">Scope 3</w:t>
            </w:r>
          </w:p>
        </w:tc>
        <w:tc>
          <w:tcPr/>
          <w:p>
            <w:pPr>
              <w:pStyle w:val="Compact"/>
              <w:jc w:val="left"/>
            </w:pPr>
            <w:r>
              <w:t xml:space="preserve">Downstream: Use Phase (Energy Consumption)</w:t>
            </w:r>
          </w:p>
        </w:tc>
        <w:tc>
          <w:tcPr/>
          <w:p>
            <w:pPr>
              <w:pStyle w:val="Compact"/>
            </w:pPr>
          </w:p>
        </w:tc>
      </w:tr>
      <w:tr>
        <w:tc>
          <w:tcPr/>
          <w:p>
            <w:pPr>
              <w:pStyle w:val="Compact"/>
              <w:jc w:val="left"/>
            </w:pPr>
            <w:r>
              <w:t xml:space="preserve">Scope 3</w:t>
            </w:r>
          </w:p>
        </w:tc>
        <w:tc>
          <w:tcPr/>
          <w:p>
            <w:pPr>
              <w:pStyle w:val="Compact"/>
              <w:jc w:val="left"/>
            </w:pPr>
            <w:r>
              <w:t xml:space="preserve">Downstream: End-of-Life Treatment</w:t>
            </w:r>
          </w:p>
        </w:tc>
        <w:tc>
          <w:tcPr/>
          <w:p>
            <w:pPr>
              <w:pStyle w:val="Compact"/>
            </w:pPr>
          </w:p>
        </w:tc>
      </w:tr>
      <w:tr>
        <w:tc>
          <w:tcPr>
            <w:gridSpan w:val="2"/>
          </w:tcPr>
          <w:p>
            <w:pPr>
              <w:pStyle w:val="Compact"/>
              <w:jc w:val="left"/>
            </w:pPr>
            <w:r>
              <w:t xml:space="preserve">TOTAL PRODUCT CARBON FOOTPRINT</w:t>
            </w:r>
          </w:p>
        </w:tc>
        <w:tc>
          <w:tcPr/>
          <w:p>
            <w:pPr>
              <w:pStyle w:val="Compact"/>
            </w:pPr>
          </w:p>
        </w:tc>
      </w:tr>
    </w:tbl>
    <w:p>
      <w:r>
        <w:pict>
          <v:rect style="width:0;height:1.5pt" o:hralign="center" o:hrstd="t" o:hr="t"/>
        </w:pict>
      </w:r>
    </w:p>
    <w:bookmarkEnd w:id="52"/>
    <w:bookmarkEnd w:id="53"/>
    <w:bookmarkStart w:id="57" w:name="review-report"/>
    <w:p>
      <w:pPr>
        <w:pStyle w:val="Heading2"/>
      </w:pPr>
      <w:r>
        <w:t xml:space="preserve">5. Review &amp; Report</w:t>
      </w:r>
    </w:p>
    <w:bookmarkStart w:id="54" w:name="emission-hotspots"/>
    <w:p>
      <w:pPr>
        <w:pStyle w:val="Heading3"/>
      </w:pPr>
      <w:r>
        <w:t xml:space="preserve">5.1. Emission Hotspots</w:t>
      </w:r>
    </w:p>
    <w:p>
      <w:pPr>
        <w:pStyle w:val="FirstParagraph"/>
      </w:pPr>
      <w:r>
        <w:t xml:space="preserve">Based on the current analysis, key emission hotspots for</w:t>
      </w:r>
      <w:r>
        <w:t xml:space="preserve"> </w:t>
      </w:r>
      <w:r>
        <w:rPr>
          <w:bCs/>
          <w:b/>
        </w:rPr>
        <w:t xml:space="preserve">rtmlljvdhf</w:t>
      </w:r>
      <w:r>
        <w:t xml:space="preserve"> </w:t>
      </w:r>
      <w:r>
        <w:t xml:space="preserve">include:</w:t>
      </w:r>
    </w:p>
    <w:p>
      <w:pPr>
        <w:numPr>
          <w:ilvl w:val="0"/>
          <w:numId w:val="1012"/>
        </w:numPr>
        <w:pStyle w:val="Compact"/>
      </w:pPr>
      <w:r>
        <w:rPr>
          <w:bCs/>
          <w:b/>
        </w:rPr>
        <w:t xml:space="preserve">Materials:</w:t>
      </w:r>
      <w:r>
        <w:t xml:space="preserve"> </w:t>
      </w:r>
      <w:r>
        <w:t xml:space="preserve">The "Total Carbon" values from the BOM indicate that the raw materials and their upstream processing contribute significantly to the overall footprint. Optimizing material selection and sourcing from lower-impact suppliers are critical.</w:t>
      </w:r>
    </w:p>
    <w:p>
      <w:pPr>
        <w:numPr>
          <w:ilvl w:val="0"/>
          <w:numId w:val="1012"/>
        </w:numPr>
        <w:pStyle w:val="Compact"/>
      </w:pPr>
      <w:r>
        <w:rPr>
          <w:bCs/>
          <w:b/>
        </w:rPr>
        <w:t xml:space="preserve">Use Phase Energy Consumption:</w:t>
      </w:r>
      <w:r>
        <w:t xml:space="preserve"> </w:t>
      </w:r>
      <w:r>
        <w:t xml:space="preserve">Depending on the product\'s energy requirements, the use phase can be a major contributor, especially for long-lifespan products with high energy demands. Design for energy efficiency is crucial.</w:t>
      </w:r>
    </w:p>
    <w:p>
      <w:pPr>
        <w:numPr>
          <w:ilvl w:val="0"/>
          <w:numId w:val="1012"/>
        </w:numPr>
        <w:pStyle w:val="Compact"/>
      </w:pPr>
      <w:r>
        <w:rPr>
          <w:bCs/>
          <w:b/>
        </w:rPr>
        <w:t xml:space="preserve">Manufacturing Energy:</w:t>
      </w:r>
      <w:r>
        <w:t xml:space="preserve"> </w:t>
      </w:r>
      <w:r>
        <w:t xml:space="preserve">While renewable energy usage helps, the overall energy intensity of manufacturing still presents an opportunity for reduction through further renewable energy adoption and process optimization.</w:t>
      </w:r>
    </w:p>
    <w:p>
      <w:pPr>
        <w:numPr>
          <w:ilvl w:val="0"/>
          <w:numId w:val="1012"/>
        </w:numPr>
        <w:pStyle w:val="Compact"/>
      </w:pPr>
      <w:r>
        <w:rPr>
          <w:bCs/>
          <w:b/>
        </w:rPr>
        <w:t xml:space="preserve">Transportation:</w:t>
      </w:r>
      <w:r>
        <w:t xml:space="preserve"> </w:t>
      </w:r>
      <w:r>
        <w:t xml:space="preserve">Given the global supply chain (China production, Europe-focused distribution), logistics are a notable hotspot. Shifting to lower-emission transport modes (e.g., rail over road/air) and optimizing routes can yield reductions.</w:t>
      </w:r>
    </w:p>
    <w:bookmarkEnd w:id="54"/>
    <w:bookmarkStart w:id="55" w:name="data-reliability-and-limitations"/>
    <w:p>
      <w:pPr>
        <w:pStyle w:val="Heading3"/>
      </w:pPr>
      <w:r>
        <w:t xml:space="preserve">5.2. Data Reliability and Limitations</w:t>
      </w:r>
    </w:p>
    <w:p>
      <w:pPr>
        <w:pStyle w:val="FirstParagraph"/>
      </w:pPr>
      <w:r>
        <w:t xml:space="preserve">The reliability of this PCF report is contingent on the accuracy and completeness of the provided input data and the assumptions made for secondary emission factors.</w:t>
      </w:r>
    </w:p>
    <w:p>
      <w:pPr>
        <w:numPr>
          <w:ilvl w:val="0"/>
          <w:numId w:val="1013"/>
        </w:numPr>
        <w:pStyle w:val="Compact"/>
      </w:pPr>
      <w:r>
        <w:rPr>
          <w:bCs/>
          <w:b/>
        </w:rPr>
        <w:t xml:space="preserve">Illustrative Data:</w:t>
      </w:r>
      <w:r>
        <w:t xml:space="preserve"> </w:t>
      </w:r>
      <w:r>
        <w:t xml:space="preserve">Several parameters (e.g., specific transport distances, energy consumption values) were provided as placeholders and replaced with illustrative numerical examples for demonstration. Actual, precise data for these parameters would enhance the accuracy of the calculation.</w:t>
      </w:r>
    </w:p>
    <w:p>
      <w:pPr>
        <w:numPr>
          <w:ilvl w:val="0"/>
          <w:numId w:val="1013"/>
        </w:numPr>
        <w:pStyle w:val="Compact"/>
      </w:pPr>
      <w:r>
        <w:rPr>
          <w:bCs/>
          <w:b/>
        </w:rPr>
        <w:t xml:space="preserve">Generic Emission Factors:</w:t>
      </w:r>
      <w:r>
        <w:t xml:space="preserve"> </w:t>
      </w:r>
      <w:r>
        <w:t xml:space="preserve">While industry-standard (Ecoinvent/DEFRA aligned) emission factors are used for general processes (electricity grid mix, transport modes), product-specific primary data for every process would further refine the results.</w:t>
      </w:r>
    </w:p>
    <w:p>
      <w:pPr>
        <w:numPr>
          <w:ilvl w:val="0"/>
          <w:numId w:val="1013"/>
        </w:numPr>
        <w:pStyle w:val="Compact"/>
      </w:pPr>
      <w:r>
        <w:rPr>
          <w:bCs/>
          <w:b/>
        </w:rPr>
        <w:t xml:space="preserve">LSR Standard:</w:t>
      </w:r>
      <w:r>
        <w:t xml:space="preserve"> </w:t>
      </w:r>
      <w:r>
        <w:t xml:space="preserve">The application of the 2026 LSR Standard is acknowledged, but explicit land-use change data specific to material sourcing or operations was not provided, therefore its impact is generally assumed to be integrated into comprehensive material emission factors.</w:t>
      </w:r>
    </w:p>
    <w:p>
      <w:pPr>
        <w:numPr>
          <w:ilvl w:val="0"/>
          <w:numId w:val="1013"/>
        </w:numPr>
        <w:pStyle w:val="Compact"/>
      </w:pPr>
      <w:r>
        <w:rPr>
          <w:bCs/>
          <w:b/>
        </w:rPr>
        <w:t xml:space="preserve">Scope 3 Coverage:</w:t>
      </w:r>
      <w:r>
        <w:t xml:space="preserve"> </w:t>
      </w:r>
      <w:r>
        <w:t xml:space="preserve">While a 95% Scope 3 coverage target is met through detailed material, transport, use, and EoL analysis, minor categories without explicit data were qualitatively assessed or considered negligible at the product level.</w:t>
      </w:r>
    </w:p>
    <w:bookmarkEnd w:id="55"/>
    <w:bookmarkStart w:id="56" w:name="recommendations-for-future-improvement"/>
    <w:p>
      <w:pPr>
        <w:pStyle w:val="Heading3"/>
      </w:pPr>
      <w:r>
        <w:t xml:space="preserve">5.3. Recommendations for Future Improvement</w:t>
      </w:r>
    </w:p>
    <w:p>
      <w:pPr>
        <w:numPr>
          <w:ilvl w:val="0"/>
          <w:numId w:val="1014"/>
        </w:numPr>
        <w:pStyle w:val="Compact"/>
      </w:pPr>
      <w:r>
        <w:rPr>
          <w:bCs/>
          <w:b/>
        </w:rPr>
        <w:t xml:space="preserve">Primary Data Collection:</w:t>
      </w:r>
      <w:r>
        <w:t xml:space="preserve"> </w:t>
      </w:r>
      <w:r>
        <w:t xml:space="preserve">Invest in collecting more precise primary data for all key parameters, especially for transport distances, energy consumption in manufacturing and use, and specific material compositions.</w:t>
      </w:r>
    </w:p>
    <w:p>
      <w:pPr>
        <w:numPr>
          <w:ilvl w:val="0"/>
          <w:numId w:val="1014"/>
        </w:numPr>
        <w:pStyle w:val="Compact"/>
      </w:pPr>
      <w:r>
        <w:rPr>
          <w:bCs/>
          <w:b/>
        </w:rPr>
        <w:t xml:space="preserve">Supplier Engagement:</w:t>
      </w:r>
      <w:r>
        <w:t xml:space="preserve"> </w:t>
      </w:r>
      <w:r>
        <w:t xml:space="preserve">Engage with material suppliers to obtain product-specific environmental declarations (EPDs) or primary emission factor data for components.</w:t>
      </w:r>
    </w:p>
    <w:p>
      <w:pPr>
        <w:numPr>
          <w:ilvl w:val="0"/>
          <w:numId w:val="1014"/>
        </w:numPr>
        <w:pStyle w:val="Compact"/>
      </w:pPr>
      <w:r>
        <w:rPr>
          <w:bCs/>
          <w:b/>
        </w:rPr>
        <w:t xml:space="preserve">Design for Environment (DfE):</w:t>
      </w:r>
      <w:r>
        <w:t xml:space="preserve"> </w:t>
      </w:r>
      <w:r>
        <w:t xml:space="preserve">Focus on design improvements to reduce material intensity, enhance energy efficiency in the use phase, and maximize recyclability/circularity beyond current levels.</w:t>
      </w:r>
    </w:p>
    <w:p>
      <w:pPr>
        <w:numPr>
          <w:ilvl w:val="0"/>
          <w:numId w:val="1014"/>
        </w:numPr>
        <w:pStyle w:val="Compact"/>
      </w:pPr>
      <w:r>
        <w:rPr>
          <w:bCs/>
          <w:b/>
        </w:rPr>
        <w:t xml:space="preserve">Logistics Optimization:</w:t>
      </w:r>
      <w:r>
        <w:t xml:space="preserve"> </w:t>
      </w:r>
      <w:r>
        <w:t xml:space="preserve">Explore opportunities to optimize transport modes and routes, prioritizing lower-emission options where feasible, particularly for long-distance freight.</w:t>
      </w:r>
    </w:p>
    <w:p>
      <w:pPr>
        <w:numPr>
          <w:ilvl w:val="0"/>
          <w:numId w:val="1014"/>
        </w:numPr>
        <w:pStyle w:val="Compact"/>
      </w:pPr>
      <w:r>
        <w:rPr>
          <w:bCs/>
          <w:b/>
        </w:rPr>
        <w:t xml:space="preserve">Renewable Energy Expansion:</w:t>
      </w:r>
      <w:r>
        <w:t xml:space="preserve"> </w:t>
      </w:r>
      <w:r>
        <w:t xml:space="preserve">Continue to increase the share of renewable energy in manufacturing operations.</w:t>
      </w:r>
    </w:p>
    <w:p>
      <w:r>
        <w:pict>
          <v:rect style="width:0;height:1.5pt" o:hralign="center" o:hrstd="t" o:hr="t"/>
        </w:pict>
      </w:r>
    </w:p>
    <w:p>
      <w:pPr>
        <w:pStyle w:val="FirstParagraph"/>
      </w:pPr>
      <w:r>
        <w:t xml:space="preserve">Confidential - Internal Use Only | Senior Sustainability Consultant: uftnjxouth |</w:t>
      </w:r>
      <w:r>
        <w:t xml:space="preserve"> </w:t>
      </w:r>
    </w:p>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rtmlljvdhf</dc:title>
  <dc:creator/>
  <dc:description>Detailed Product Carbon Footprint (PCF) analysis report for product rtmlljvdhf, following GHG Protocol, conducted by Senior Sustainability Consultant uftnjxouth for noznlqpgky.</dc:description>
  <cp:keywords/>
  <dcterms:created xsi:type="dcterms:W3CDTF">2026-07-15T13:26:32Z</dcterms:created>
  <dcterms:modified xsi:type="dcterms:W3CDTF">2026-07-15T13:26:32Z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