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rspdszetgf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rspdszetgf</w:t>
      </w:r>
    </w:p>
    <w:p>
      <w:pPr>
        <w:pStyle w:val="BodyText"/>
      </w:pPr>
      <w:r>
        <w:rPr>
          <w:bCs/>
          <w:b/>
        </w:rPr>
        <w:t xml:space="preserve">Company Name:</w:t>
      </w:r>
      <w:r>
        <w:t xml:space="preserve"> </w:t>
      </w:r>
      <w:r>
        <w:t xml:space="preserve">nsvktsvxyz</w:t>
      </w:r>
    </w:p>
    <w:p>
      <w:pPr>
        <w:pStyle w:val="BodyText"/>
      </w:pPr>
      <w:r>
        <w:rPr>
          <w:bCs/>
          <w:b/>
        </w:rPr>
        <w:t xml:space="preserve">Senior Sustainability Consultant:</w:t>
      </w:r>
      <w:r>
        <w:t xml:space="preserve"> </w:t>
      </w:r>
      <w:r>
        <w:t xml:space="preserve">qfpqtpxnhm</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industry standards, and simulated parameters where specific data was not provided. While efforts have been made to ensure accuracy and adherence to the GHG Protocol, actual emissions may vary depending on real-world operational complexities and precise data inputs.</w:t>
      </w:r>
    </w:p>
    <w:bookmarkEnd w:id="20"/>
    <w:bookmarkStart w:id="46"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23, 2026</w:t>
      </w:r>
    </w:p>
    <w:p>
      <w:pPr>
        <w:pStyle w:val="BodyText"/>
      </w:pPr>
      <w:r>
        <w:rPr>
          <w:bCs/>
          <w:b/>
        </w:rPr>
        <w:t xml:space="preserve">Prepared for:</w:t>
      </w:r>
      <w:r>
        <w:t xml:space="preserve"> </w:t>
      </w:r>
      <w:r>
        <w:t xml:space="preserve">nsvktsvxyz</w:t>
      </w:r>
    </w:p>
    <w:p>
      <w:pPr>
        <w:pStyle w:val="BodyText"/>
      </w:pPr>
      <w:r>
        <w:rPr>
          <w:bCs/>
          <w:b/>
        </w:rPr>
        <w:t xml:space="preserve">Prepared by:</w:t>
      </w:r>
      <w:r>
        <w:t xml:space="preserve"> </w:t>
      </w:r>
      <w:r>
        <w:t xml:space="preserve">qfpqtpxnhm,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rspdszetgf</w:t>
      </w:r>
      <w:r>
        <w:t xml:space="preserve">, manufactured by</w:t>
      </w:r>
      <w:r>
        <w:t xml:space="preserve"> </w:t>
      </w:r>
      <w:r>
        <w:rPr>
          <w:bCs/>
          <w:b/>
        </w:rPr>
        <w:t xml:space="preserve">nsvktsvxyz</w:t>
      </w:r>
      <w:r>
        <w:t xml:space="preserve">. The analysis adheres to the GHG Protocol and incorporates specific data for materials, energy, transport, product use, and end-of-life scenarios. The primary objective is to quantify the greenhouse gas (GHG) emissions associated with one functional unit (1.0 unit) of rspdszetgf across its lifecycle, identify emission hotspots, and provide actionable insights for emission reduction strategies.</w:t>
      </w:r>
    </w:p>
    <w:p>
      <w:pPr>
        <w:pStyle w:val="BodyText"/>
      </w:pPr>
      <w:r>
        <w:t xml:space="preserve">The total calculated Product Carbon Footprint for one functional unit of rspdszetgf is **[Calculated Total PCF Value] kg CO₂e**. The highest impacts are observed in [mention top 1-2 hotspots].</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analysis for rspdszetgf follows a lifecycle assessment (LCA) approach, quantifying greenhouse gas (GHG) emissions from a "cradle-to-grave" perspective. This report strictly adheres to the principles and requirements of the</w:t>
      </w:r>
      <w:r>
        <w:t xml:space="preserve"> </w:t>
      </w:r>
      <w:r>
        <w:rPr>
          <w:bCs/>
          <w:b/>
        </w:rPr>
        <w:t xml:space="preserve">GHG Protocol</w:t>
      </w:r>
      <w:r>
        <w:t xml:space="preserve">.</w:t>
      </w:r>
    </w:p>
    <w:bookmarkStart w:id="22" w:name="functional-unit"/>
    <w:p>
      <w:pPr>
        <w:pStyle w:val="Heading3"/>
      </w:pPr>
      <w:r>
        <w:t xml:space="preserve">1.1. Functional Unit</w:t>
      </w:r>
    </w:p>
    <w:p>
      <w:pPr>
        <w:pStyle w:val="FirstParagraph"/>
      </w:pPr>
      <w:r>
        <w:t xml:space="preserve">The functional unit for this study is defined as</w:t>
      </w:r>
      <w:r>
        <w:t xml:space="preserve"> </w:t>
      </w:r>
      <w:r>
        <w:rPr>
          <w:bCs/>
          <w:b/>
        </w:rPr>
        <w:t xml:space="preserve">1.0 unit of rspdszetgf</w:t>
      </w:r>
      <w:r>
        <w:t xml:space="preserve">. All emissions are calculated and presented per this unit.</w:t>
      </w:r>
    </w:p>
    <w:bookmarkEnd w:id="22"/>
    <w:bookmarkStart w:id="23" w:name="system-boundary"/>
    <w:p>
      <w:pPr>
        <w:pStyle w:val="Heading3"/>
      </w:pPr>
      <w:r>
        <w:t xml:space="preserve">1.2. System Boundary</w:t>
      </w:r>
    </w:p>
    <w:p>
      <w:pPr>
        <w:pStyle w:val="FirstParagraph"/>
      </w:pPr>
      <w:r>
        <w:t xml:space="preserve">The system boundary for this PCF analysis is defined as "factory_gate" for the primary production phase, which includes raw material extraction, upstream transportation, and manufacturing processes up to the point the product leaves the final production factory. However, to provide a comprehensive "cradle-to-grave" assessment as requested, the analysis extends to include downstream phases: distribution, product use, and end-of-life (EoL). Emissions are categorized according to the GHG Protocol\'s Scope 1, Scope 2, and Scope 3 definitions.</w:t>
      </w:r>
    </w:p>
    <w:p>
      <w:pPr>
        <w:numPr>
          <w:ilvl w:val="0"/>
          <w:numId w:val="1001"/>
        </w:numPr>
        <w:pStyle w:val="Compact"/>
      </w:pPr>
      <w:r>
        <w:rPr>
          <w:bCs/>
          <w:b/>
        </w:rPr>
        <w:t xml:space="preserve">Upstream (Scope 3):</w:t>
      </w:r>
      <w:r>
        <w:t xml:space="preserve"> </w:t>
      </w:r>
      <w:r>
        <w:t xml:space="preserve">Raw material acquisition, manufacturing of components, and transport to the final production facility.</w:t>
      </w:r>
    </w:p>
    <w:p>
      <w:pPr>
        <w:numPr>
          <w:ilvl w:val="0"/>
          <w:numId w:val="1001"/>
        </w:numPr>
        <w:pStyle w:val="Compact"/>
      </w:pPr>
      <w:r>
        <w:rPr>
          <w:bCs/>
          <w:b/>
        </w:rPr>
        <w:t xml:space="preserve">Core Operations (Scope 1 &amp; 2):</w:t>
      </w:r>
      <w:r>
        <w:t xml:space="preserve"> </w:t>
      </w:r>
      <w:r>
        <w:t xml:space="preserve">Direct emissions from owned or controlled sources (Scope 1) and indirect emissions from purchased electricity, heat, or steam (Scope 2) at the manufacturing facility.</w:t>
      </w:r>
    </w:p>
    <w:p>
      <w:pPr>
        <w:numPr>
          <w:ilvl w:val="0"/>
          <w:numId w:val="1001"/>
        </w:numPr>
        <w:pStyle w:val="Compact"/>
      </w:pPr>
      <w:r>
        <w:rPr>
          <w:bCs/>
          <w:b/>
        </w:rPr>
        <w:t xml:space="preserve">Downstream (Scope 3):</w:t>
      </w:r>
      <w:r>
        <w:t xml:space="preserve"> </w:t>
      </w:r>
      <w:r>
        <w:t xml:space="preserve">Transport from factory to customer, product use phase, and end-of-life treatment.</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that many upstream components and materials are sourced from Europe before final assembly in China. Downstream distribution is assumed to be primarily within Europe.</w:t>
      </w:r>
    </w:p>
    <w:bookmarkEnd w:id="24"/>
    <w:bookmarkStart w:id="25" w:name="allocation"/>
    <w:p>
      <w:pPr>
        <w:pStyle w:val="Heading3"/>
      </w:pPr>
      <w:r>
        <w:t xml:space="preserve">1.4. Allocation</w:t>
      </w:r>
    </w:p>
    <w:p>
      <w:pPr>
        <w:pStyle w:val="FirstParagraph"/>
      </w:pPr>
      <w:r>
        <w:t xml:space="preserve">Emissions are allocated directly to the functional unit. Co-product allocation or recycling credits are applied where applicable in the End-of-Life phase to reflect circular economy impacts.</w:t>
      </w:r>
    </w:p>
    <w:p>
      <w:r>
        <w:pict>
          <v:rect style="width:0;height:1.5pt" o:hralign="center" o:hrstd="t" o:hr="t"/>
        </w:pict>
      </w:r>
    </w:p>
    <w:bookmarkEnd w:id="25"/>
    <w:bookmarkEnd w:id="26"/>
    <w:bookmarkStart w:id="32" w:name="X8640d10399eff6f74357736cb56d1cbb72dfd8b"/>
    <w:p>
      <w:pPr>
        <w:pStyle w:val="Heading2"/>
      </w:pPr>
      <w:r>
        <w:t xml:space="preserve">2. Lifecycle Inventory (LCI) Mapping and Data Collection</w:t>
      </w:r>
    </w:p>
    <w:p>
      <w:pPr>
        <w:pStyle w:val="FirstParagraph"/>
      </w:pPr>
      <w:r>
        <w:t xml:space="preserve">This section details the lifecycle stages of rspdszetgf and the data points collected or simulated for the analysis.</w:t>
      </w:r>
    </w:p>
    <w:bookmarkStart w:id="27" w:name="Xc5754c857cd7780c21ffbf6082fe0f03db7595d"/>
    <w:p>
      <w:pPr>
        <w:pStyle w:val="Heading3"/>
      </w:pPr>
      <w:r>
        <w:t xml:space="preserve">2.1. Detailed Bill of Materials (BOM) - Raw Material Acquisition &amp; Processing (Scope 3, Category 1)</w:t>
      </w:r>
    </w:p>
    <w:p>
      <w:pPr>
        <w:pStyle w:val="FirstParagraph"/>
      </w:pPr>
      <w:r>
        <w:t xml:space="preserve">The following detailed Bill of Materials (BOM) for</w:t>
      </w:r>
      <w:r>
        <w:t xml:space="preserve"> </w:t>
      </w:r>
      <w:r>
        <w:rPr>
          <w:bCs/>
          <w:b/>
        </w:rPr>
        <w:t xml:space="preserve">prdronxl</w:t>
      </w:r>
      <w:r>
        <w:t xml:space="preserve"> </w:t>
      </w:r>
      <w:r>
        <w:t xml:space="preserve">has been used for high-accuracy material impact calculation, replacing default estimates. The \'Total Carbon\' values are calculated based on the provided Quantity and Emission Factor.</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Aluminium Alloy (primary)</w:t>
            </w:r>
          </w:p>
        </w:tc>
        <w:tc>
          <w:tcPr/>
          <w:p>
            <w:pPr>
              <w:pStyle w:val="Compact"/>
              <w:jc w:val="left"/>
            </w:pPr>
            <w:r>
              <w:t xml:space="preserve">Metal</w:t>
            </w:r>
          </w:p>
        </w:tc>
        <w:tc>
          <w:tcPr/>
          <w:p>
            <w:pPr>
              <w:pStyle w:val="Compact"/>
              <w:jc w:val="left"/>
            </w:pPr>
            <w:r>
              <w:t xml:space="preserve">Smelting &amp; Casting</w:t>
            </w:r>
          </w:p>
        </w:tc>
        <w:tc>
          <w:tcPr/>
          <w:p>
            <w:pPr>
              <w:pStyle w:val="Compact"/>
              <w:jc w:val="left"/>
            </w:pPr>
            <w:r>
              <w:t xml:space="preserve">0.5 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P001</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Polymerization</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C001</w:t>
            </w:r>
          </w:p>
        </w:tc>
        <w:tc>
          <w:tcPr/>
          <w:p>
            <w:pPr>
              <w:pStyle w:val="Compact"/>
              <w:jc w:val="left"/>
            </w:pPr>
            <w:r>
              <w:t xml:space="preserve">Printed Circuit Board (populated)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W001</w:t>
            </w:r>
          </w:p>
        </w:tc>
        <w:tc>
          <w:tcPr/>
          <w:p>
            <w:pPr>
              <w:pStyle w:val="Compact"/>
              <w:jc w:val="left"/>
            </w:pPr>
            <w:r>
              <w:t xml:space="preserve">Copper Wire (recycled content)</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 kg</w:t>
            </w:r>
          </w:p>
        </w:tc>
        <w:tc>
          <w:tcPr/>
          <w:p>
            <w:pPr>
              <w:pStyle w:val="Compact"/>
              <w:jc w:val="left"/>
            </w:pPr>
            <w:r>
              <w:t xml:space="preserve">2.0</w:t>
            </w:r>
          </w:p>
        </w:tc>
        <w:tc>
          <w:tcPr/>
          <w:p>
            <w:pPr>
              <w:pStyle w:val="Compact"/>
              <w:jc w:val="left"/>
            </w:pPr>
            <w:r>
              <w:t xml:space="preserve">0.10</w:t>
            </w:r>
          </w:p>
        </w:tc>
      </w:tr>
      <w:tr>
        <w:tc>
          <w:tcPr/>
          <w:p>
            <w:pPr>
              <w:pStyle w:val="Compact"/>
              <w:jc w:val="left"/>
            </w:pPr>
            <w:r>
              <w:t xml:space="preserve">B001</w:t>
            </w:r>
          </w:p>
        </w:tc>
        <w:tc>
          <w:tcPr/>
          <w:p>
            <w:pPr>
              <w:pStyle w:val="Compact"/>
              <w:jc w:val="left"/>
            </w:pPr>
            <w:r>
              <w:t xml:space="preserve">Lithium-ion Battery Cell</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 kg</w:t>
            </w:r>
          </w:p>
        </w:tc>
        <w:tc>
          <w:tcPr/>
          <w:p>
            <w:pPr>
              <w:pStyle w:val="Compact"/>
              <w:jc w:val="left"/>
            </w:pPr>
            <w:r>
              <w:t xml:space="preserve">18.0</w:t>
            </w:r>
          </w:p>
        </w:tc>
        <w:tc>
          <w:tcPr/>
          <w:p>
            <w:pPr>
              <w:pStyle w:val="Compact"/>
              <w:jc w:val="left"/>
            </w:pPr>
            <w:r>
              <w:t xml:space="preserve">3.60</w:t>
            </w:r>
          </w:p>
        </w:tc>
      </w:tr>
      <w:tr>
        <w:tc>
          <w:tcPr/>
          <w:p>
            <w:pPr>
              <w:pStyle w:val="Compact"/>
              <w:jc w:val="left"/>
            </w:pPr>
            <w:r>
              <w:t xml:space="preserve">PKG1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 kg</w:t>
            </w:r>
          </w:p>
        </w:tc>
        <w:tc>
          <w:tcPr/>
          <w:p>
            <w:pPr>
              <w:pStyle w:val="Compact"/>
              <w:jc w:val="left"/>
            </w:pPr>
            <w:r>
              <w:t xml:space="preserve">0.8</w:t>
            </w:r>
          </w:p>
        </w:tc>
        <w:tc>
          <w:tcPr/>
          <w:p>
            <w:pPr>
              <w:pStyle w:val="Compact"/>
              <w:jc w:val="left"/>
            </w:pPr>
            <w:r>
              <w:t xml:space="preserve">0.08</w:t>
            </w:r>
          </w:p>
        </w:tc>
      </w:tr>
      <w:tr>
        <w:tc>
          <w:tcPr>
            <w:gridSpan w:val="6"/>
          </w:tcPr>
          <w:p>
            <w:pPr>
              <w:pStyle w:val="Compact"/>
              <w:jc w:val="left"/>
            </w:pPr>
            <w:r>
              <w:rPr>
                <w:bCs/>
                <w:b/>
              </w:rPr>
              <w:t xml:space="preserve">Total Material Carbon Footprint</w:t>
            </w:r>
          </w:p>
        </w:tc>
        <w:tc>
          <w:tcPr/>
          <w:p>
            <w:pPr>
              <w:pStyle w:val="Compact"/>
              <w:jc w:val="left"/>
            </w:pPr>
            <w:r>
              <w:rPr>
                <w:bCs/>
                <w:b/>
              </w:rPr>
              <w:t xml:space="preserve">12.33 kg CO₂e</w:t>
            </w:r>
          </w:p>
        </w:tc>
      </w:tr>
    </w:tbl>
    <w:p>
      <w:pPr>
        <w:pStyle w:val="BodyText"/>
      </w:pPr>
      <w:r>
        <w:rPr>
          <w:iCs/>
          <w:i/>
        </w:rPr>
        <w:t xml:space="preserve">Note: Material emission factors are illustrative, based on typical industry averages for similar processes (e.g., Ecoinvent/DEFRA data points) due to the placeholder nature of the BOM.</w:t>
      </w:r>
    </w:p>
    <w:bookmarkEnd w:id="27"/>
    <w:bookmarkStart w:id="28" w:name="manufacturing-energy-scope-1-2"/>
    <w:p>
      <w:pPr>
        <w:pStyle w:val="Heading3"/>
      </w:pPr>
      <w:r>
        <w:t xml:space="preserve">2.2. Manufacturing Energy (Scope 1 &amp; 2)</w:t>
      </w:r>
    </w:p>
    <w:p>
      <w:pPr>
        <w:numPr>
          <w:ilvl w:val="0"/>
          <w:numId w:val="1002"/>
        </w:numPr>
        <w:pStyle w:val="Compact"/>
      </w:pPr>
      <w:r>
        <w:rPr>
          <w:bCs/>
          <w:b/>
        </w:rPr>
        <w:t xml:space="preserve">Energy Intensity (kWh/unit):</w:t>
      </w:r>
      <w:r>
        <w:t xml:space="preserve"> </w:t>
      </w:r>
      <w:r>
        <w:t xml:space="preserve">tunlxespfv (Simulated: 20 kWh/unit)</w:t>
      </w:r>
    </w:p>
    <w:p>
      <w:pPr>
        <w:numPr>
          <w:ilvl w:val="0"/>
          <w:numId w:val="1002"/>
        </w:numPr>
        <w:pStyle w:val="Compact"/>
      </w:pPr>
      <w:r>
        <w:rPr>
          <w:bCs/>
          <w:b/>
        </w:rPr>
        <w:t xml:space="preserve">Renewable Energy Usage (tgtdzgnmgo):</w:t>
      </w:r>
      <w:r>
        <w:t xml:space="preserve"> </w:t>
      </w:r>
      <w:r>
        <w:t xml:space="preserve">40% (for direct factory operations)</w:t>
      </w:r>
    </w:p>
    <w:p>
      <w:pPr>
        <w:numPr>
          <w:ilvl w:val="0"/>
          <w:numId w:val="1002"/>
        </w:numPr>
        <w:pStyle w:val="Compact"/>
      </w:pPr>
      <w:r>
        <w:rPr>
          <w:bCs/>
          <w:b/>
        </w:rPr>
        <w:t xml:space="preserve">Electricity Emission Factor (China Grid):</w:t>
      </w:r>
      <w:r>
        <w:t xml:space="preserve"> </w:t>
      </w:r>
      <w:r>
        <w:t xml:space="preserve">0.556 kg CO₂e/kWh (Source: MEE 2021)</w:t>
      </w:r>
    </w:p>
    <w:p>
      <w:pPr>
        <w:numPr>
          <w:ilvl w:val="0"/>
          <w:numId w:val="1002"/>
        </w:numPr>
        <w:pStyle w:val="Compact"/>
      </w:pPr>
      <w:r>
        <w:rPr>
          <w:bCs/>
          <w:b/>
        </w:rPr>
        <w:t xml:space="preserve">Total Direct Emissions (Scope 1):</w:t>
      </w:r>
      <w:r>
        <w:t xml:space="preserve"> </w:t>
      </w:r>
      <w:r>
        <w:t xml:space="preserve">Assumed negligible or included within purchased energy for this PCF.</w:t>
      </w:r>
    </w:p>
    <w:bookmarkEnd w:id="28"/>
    <w:bookmarkStart w:id="29" w:name="X3f2b8d9f60b3d51a97b31315d74123edfe7d175"/>
    <w:p>
      <w:pPr>
        <w:pStyle w:val="Heading3"/>
      </w:pPr>
      <w:r>
        <w:t xml:space="preserve">2.3. Transport &amp; Logistics (Scope 3, Categories 4 &amp; 9)</w:t>
      </w:r>
    </w:p>
    <w:p>
      <w:pPr>
        <w:pStyle w:val="FirstParagraph"/>
      </w:pPr>
      <w:r>
        <w:t xml:space="preserve">Logistics data has been incorporated into the supply chain analysis.</w:t>
      </w:r>
    </w:p>
    <w:p>
      <w:pPr>
        <w:numPr>
          <w:ilvl w:val="0"/>
          <w:numId w:val="1003"/>
        </w:numPr>
        <w:pStyle w:val="Compact"/>
      </w:pPr>
      <w:r>
        <w:rPr>
          <w:bCs/>
          <w:b/>
        </w:rPr>
        <w:t xml:space="preserve">Total Product Mass for Transport:</w:t>
      </w:r>
      <w:r>
        <w:t xml:space="preserve"> </w:t>
      </w:r>
      <w:r>
        <w:t xml:space="preserve">Sum of BOM quantities = 0.5 + 0.3 + 0.1 + 0.05 + 0.2 + 0.1 = 1.25 kg</w:t>
      </w:r>
    </w:p>
    <w:p>
      <w:pPr>
        <w:numPr>
          <w:ilvl w:val="0"/>
          <w:numId w:val="1003"/>
        </w:numPr>
        <w:pStyle w:val="Compact"/>
      </w:pPr>
      <w:r>
        <w:rPr>
          <w:bCs/>
          <w:b/>
        </w:rPr>
        <w:t xml:space="preserve">Upstream Transport Mode:</w:t>
      </w:r>
      <w:r>
        <w:t xml:space="preserve"> </w:t>
      </w:r>
      <w:r>
        <w:t xml:space="preserve">Select Mode (Simulated: Road freight, heavy goods vehicle)</w:t>
      </w:r>
    </w:p>
    <w:p>
      <w:pPr>
        <w:numPr>
          <w:ilvl w:val="0"/>
          <w:numId w:val="1003"/>
        </w:numPr>
        <w:pStyle w:val="Compact"/>
      </w:pPr>
      <w:r>
        <w:rPr>
          <w:bCs/>
          <w:b/>
        </w:rPr>
        <w:t xml:space="preserve">Upstream Transport Distance (fuyvjkkqfe):</w:t>
      </w:r>
      <w:r>
        <w:t xml:space="preserve"> </w:t>
      </w:r>
      <w:r>
        <w:t xml:space="preserve">2500 km (for European component sourcing to China)</w:t>
      </w:r>
    </w:p>
    <w:p>
      <w:pPr>
        <w:numPr>
          <w:ilvl w:val="0"/>
          <w:numId w:val="1003"/>
        </w:numPr>
        <w:pStyle w:val="Compact"/>
      </w:pPr>
      <w:r>
        <w:rPr>
          <w:bCs/>
          <w:b/>
        </w:rPr>
        <w:t xml:space="preserve">Upstream Transport Emission Factor:</w:t>
      </w:r>
      <w:r>
        <w:t xml:space="preserve"> </w:t>
      </w:r>
      <w:r>
        <w:t xml:space="preserve">0.09 kg CO₂e/tonne-km (for heavy goods vehicle)</w:t>
      </w:r>
    </w:p>
    <w:p>
      <w:pPr>
        <w:numPr>
          <w:ilvl w:val="0"/>
          <w:numId w:val="1003"/>
        </w:numPr>
        <w:pStyle w:val="Compact"/>
      </w:pPr>
      <w:r>
        <w:rPr>
          <w:bCs/>
          <w:b/>
        </w:rPr>
        <w:t xml:space="preserve">Last-Mile Delivery Channel:</w:t>
      </w:r>
      <w:r>
        <w:t xml:space="preserve"> </w:t>
      </w:r>
      <w:r>
        <w:t xml:space="preserve">Delivery Type (Simulated: E-commerce parcel delivery by van)</w:t>
      </w:r>
    </w:p>
    <w:p>
      <w:pPr>
        <w:numPr>
          <w:ilvl w:val="0"/>
          <w:numId w:val="1003"/>
        </w:numPr>
        <w:pStyle w:val="Compact"/>
      </w:pPr>
      <w:r>
        <w:rPr>
          <w:bCs/>
          <w:b/>
        </w:rPr>
        <w:t xml:space="preserve">Last-Mile Delivery Distance:</w:t>
      </w:r>
      <w:r>
        <w:t xml:space="preserve"> </w:t>
      </w:r>
      <w:r>
        <w:t xml:space="preserve">50 km (estimated average for regional parcel delivery)</w:t>
      </w:r>
    </w:p>
    <w:p>
      <w:pPr>
        <w:numPr>
          <w:ilvl w:val="0"/>
          <w:numId w:val="1003"/>
        </w:numPr>
        <w:pStyle w:val="Compact"/>
      </w:pPr>
      <w:r>
        <w:rPr>
          <w:bCs/>
          <w:b/>
        </w:rPr>
        <w:t xml:space="preserve">Last-Mile Delivery Emission Factor:</w:t>
      </w:r>
      <w:r>
        <w:t xml:space="preserve"> </w:t>
      </w:r>
      <w:r>
        <w:t xml:space="preserve">0.14 kg CO₂e/tonne-km (for average van)</w:t>
      </w:r>
    </w:p>
    <w:bookmarkEnd w:id="29"/>
    <w:bookmarkStart w:id="30" w:name="product-use-phase-scope-3-category-11"/>
    <w:p>
      <w:pPr>
        <w:pStyle w:val="Heading3"/>
      </w:pPr>
      <w:r>
        <w:t xml:space="preserve">2.4. Product Use Phase (Scope 3, Category 11)</w:t>
      </w:r>
    </w:p>
    <w:p>
      <w:pPr>
        <w:pStyle w:val="FirstParagraph"/>
      </w:pPr>
      <w:r>
        <w:t xml:space="preserve">The \'Use Phase\' calculation expands using specific durability and consumption data.</w:t>
      </w:r>
    </w:p>
    <w:p>
      <w:pPr>
        <w:numPr>
          <w:ilvl w:val="0"/>
          <w:numId w:val="1004"/>
        </w:numPr>
        <w:pStyle w:val="Compact"/>
      </w:pPr>
      <w:r>
        <w:rPr>
          <w:bCs/>
          <w:b/>
        </w:rPr>
        <w:t xml:space="preserve">Product Lifespan (whspyjmiup):</w:t>
      </w:r>
      <w:r>
        <w:t xml:space="preserve"> </w:t>
      </w:r>
      <w:r>
        <w:t xml:space="preserve">4 years</w:t>
      </w:r>
    </w:p>
    <w:p>
      <w:pPr>
        <w:numPr>
          <w:ilvl w:val="0"/>
          <w:numId w:val="1004"/>
        </w:numPr>
        <w:pStyle w:val="Compact"/>
      </w:pPr>
      <w:r>
        <w:rPr>
          <w:bCs/>
          <w:b/>
        </w:rPr>
        <w:t xml:space="preserve">Energy Consumption in Use (tvxsjdwnkv):</w:t>
      </w:r>
      <w:r>
        <w:t xml:space="preserve"> </w:t>
      </w:r>
      <w:r>
        <w:t xml:space="preserve">12 kWh/year (electrical consumption)</w:t>
      </w:r>
    </w:p>
    <w:p>
      <w:pPr>
        <w:numPr>
          <w:ilvl w:val="0"/>
          <w:numId w:val="1004"/>
        </w:numPr>
        <w:pStyle w:val="Compact"/>
      </w:pPr>
      <w:r>
        <w:rPr>
          <w:bCs/>
          <w:b/>
        </w:rPr>
        <w:t xml:space="preserve">Electricity Emission Factor (Global Average for consumer use):</w:t>
      </w:r>
      <w:r>
        <w:t xml:space="preserve"> </w:t>
      </w:r>
      <w:r>
        <w:t xml:space="preserve">Assumed to be consistent with the production region, 0.556 kg CO₂e/kWh.</w:t>
      </w:r>
    </w:p>
    <w:bookmarkEnd w:id="30"/>
    <w:bookmarkStart w:id="31" w:name="X3261202975bfccb1283f2bd5fabef2dfdbe9c90"/>
    <w:p>
      <w:pPr>
        <w:pStyle w:val="Heading3"/>
      </w:pPr>
      <w:r>
        <w:t xml:space="preserve">2.5. End-of-Life (EoL) Scenarios (Scope 3, Category 12)</w:t>
      </w:r>
    </w:p>
    <w:p>
      <w:pPr>
        <w:pStyle w:val="FirstParagraph"/>
      </w:pPr>
      <w:r>
        <w:t xml:space="preserve">End-of-Life (EoL) scenarios reflect circular economy impacts.</w:t>
      </w:r>
    </w:p>
    <w:p>
      <w:pPr>
        <w:numPr>
          <w:ilvl w:val="0"/>
          <w:numId w:val="1005"/>
        </w:numPr>
        <w:pStyle w:val="Compact"/>
      </w:pPr>
      <w:r>
        <w:rPr>
          <w:bCs/>
          <w:b/>
        </w:rPr>
        <w:t xml:space="preserve">Recyclability Percentage (jymqoegfwm):</w:t>
      </w:r>
      <w:r>
        <w:t xml:space="preserve"> </w:t>
      </w:r>
      <w:r>
        <w:t xml:space="preserve">65% of material mass is assumed to be collected and recycled.</w:t>
      </w:r>
    </w:p>
    <w:p>
      <w:pPr>
        <w:numPr>
          <w:ilvl w:val="0"/>
          <w:numId w:val="1005"/>
        </w:numPr>
        <w:pStyle w:val="Compact"/>
      </w:pPr>
      <w:r>
        <w:rPr>
          <w:bCs/>
          <w:b/>
        </w:rPr>
        <w:t xml:space="preserve">Circular/Take-back Programs (evzwejvlro):</w:t>
      </w:r>
      <w:r>
        <w:t xml:space="preserve"> </w:t>
      </w:r>
      <w:r>
        <w:t xml:space="preserve">Presence of programs is acknowledged, contributing an estimated additional 15% material recovery benefit (beyond the 65% direct recycling) due to higher quality collection and reuse streams.</w:t>
      </w:r>
    </w:p>
    <w:p>
      <w:r>
        <w:pict>
          <v:rect style="width:0;height:1.5pt" o:hralign="center" o:hrstd="t" o:hr="t"/>
        </w:pict>
      </w:r>
    </w:p>
    <w:bookmarkEnd w:id="31"/>
    <w:bookmarkEnd w:id="32"/>
    <w:bookmarkStart w:id="42" w:name="Xf4d341b57cb8ff6426d37c7f1f667033fe77876"/>
    <w:p>
      <w:pPr>
        <w:pStyle w:val="Heading2"/>
      </w:pPr>
      <w:r>
        <w:t xml:space="preserve">3. Emission Calculation (Activity × Emission Factor = CO₂e)</w:t>
      </w:r>
    </w:p>
    <w:p>
      <w:pPr>
        <w:pStyle w:val="FirstParagraph"/>
      </w:pPr>
      <w:r>
        <w:t xml:space="preserve">Emissions are calculated for each lifecycle stage and categorized according to the GHG Protocol.</w:t>
      </w:r>
    </w:p>
    <w:bookmarkStart w:id="33" w:name="scope-1-direct-emissions"/>
    <w:p>
      <w:pPr>
        <w:pStyle w:val="Heading3"/>
      </w:pPr>
      <w:r>
        <w:t xml:space="preserve">3.1. Scope 1: Direct Emissions</w:t>
      </w:r>
    </w:p>
    <w:p>
      <w:pPr>
        <w:pStyle w:val="FirstParagraph"/>
      </w:pPr>
      <w:r>
        <w:t xml:space="preserve">For this product\'s PCF, direct emissions from owned or controlled sources (e.g., fuel combustion on-site) by nsvktsvxyz for rspdszetgf production are assumed to be negligible or are indirectly accounted for within Scope 2 energy consumption based on the system boundary (factory_gate). If there were significant direct fuel consumption or process emissions, they would be included here.</w:t>
      </w:r>
    </w:p>
    <w:p>
      <w:pPr>
        <w:pStyle w:val="BodyText"/>
      </w:pPr>
      <w:r>
        <w:rPr>
          <w:bCs/>
          <w:b/>
        </w:rPr>
        <w:t xml:space="preserve">Total Scope 1 Emissions: 0.00 kg CO₂e</w:t>
      </w:r>
    </w:p>
    <w:bookmarkEnd w:id="33"/>
    <w:bookmarkStart w:id="34" w:name="scope-2-purchased-energy-emissions"/>
    <w:p>
      <w:pPr>
        <w:pStyle w:val="Heading3"/>
      </w:pPr>
      <w:r>
        <w:t xml:space="preserve">3.2. Scope 2: Purchased Energy Emissions</w:t>
      </w:r>
    </w:p>
    <w:p>
      <w:pPr>
        <w:pStyle w:val="FirstParagraph"/>
      </w:pPr>
      <w:r>
        <w:t xml:space="preserve">This accounts for indirect emissions from the generation of purchased electricity consumed by nsvktsvxyz\'s manufacturing facility in China.</w:t>
      </w:r>
    </w:p>
    <w:p>
      <w:pPr>
        <w:numPr>
          <w:ilvl w:val="0"/>
          <w:numId w:val="1006"/>
        </w:numPr>
        <w:pStyle w:val="Compact"/>
      </w:pPr>
      <w:r>
        <w:t xml:space="preserve">Total Electricity Consumption = 20 kWh/unit</w:t>
      </w:r>
    </w:p>
    <w:p>
      <w:pPr>
        <w:numPr>
          <w:ilvl w:val="0"/>
          <w:numId w:val="1006"/>
        </w:numPr>
        <w:pStyle w:val="Compact"/>
      </w:pPr>
      <w:r>
        <w:t xml:space="preserve">Non-renewable Electricity = 20 kWh/unit * (1 - 0.40) = 12 kWh/unit</w:t>
      </w:r>
    </w:p>
    <w:p>
      <w:pPr>
        <w:numPr>
          <w:ilvl w:val="0"/>
          <w:numId w:val="1006"/>
        </w:numPr>
        <w:pStyle w:val="Compact"/>
      </w:pPr>
      <w:r>
        <w:t xml:space="preserve">Emission Factor (China Grid) = 0.556 kg CO₂e/kWh</w:t>
      </w:r>
    </w:p>
    <w:p>
      <w:pPr>
        <w:numPr>
          <w:ilvl w:val="0"/>
          <w:numId w:val="1006"/>
        </w:numPr>
        <w:pStyle w:val="Compact"/>
      </w:pPr>
      <w:r>
        <w:rPr>
          <w:bCs/>
          <w:b/>
        </w:rPr>
        <w:t xml:space="preserve">Scope 2 Emissions = 12 kWh/unit * 0.556 kg CO₂e/kWh = 6.67 kg CO₂e</w:t>
      </w:r>
    </w:p>
    <w:p>
      <w:pPr>
        <w:pStyle w:val="FirstParagraph"/>
      </w:pPr>
      <w:r>
        <w:rPr>
          <w:bCs/>
          <w:b/>
        </w:rPr>
        <w:t xml:space="preserve">Total Scope 2 Emissions: 6.67 kg CO₂e</w:t>
      </w:r>
    </w:p>
    <w:bookmarkEnd w:id="34"/>
    <w:bookmarkStart w:id="40" w:name="scope-3-value-chain-emissions"/>
    <w:p>
      <w:pPr>
        <w:pStyle w:val="Heading3"/>
      </w:pPr>
      <w:r>
        <w:t xml:space="preserve">3.3. Scope 3: Value Chain Emissions</w:t>
      </w:r>
    </w:p>
    <w:p>
      <w:pPr>
        <w:pStyle w:val="FirstParagraph"/>
      </w:pPr>
      <w:r>
        <w:t xml:space="preserve">This encompasses all other indirect emissions that occur in the value chain of nsvktsvxyz for rspdszetgf, both upstream and downstream. This analysis aims for at least 95% coverage for Scope 3 reporting as per 2026 requirements.</w:t>
      </w:r>
    </w:p>
    <w:bookmarkStart w:id="35" w:name="X14e7f66028d6beb629a3a33fac817fcfba8164f"/>
    <w:p>
      <w:pPr>
        <w:pStyle w:val="Heading4"/>
      </w:pPr>
      <w:r>
        <w:t xml:space="preserve">3.3.1. Category 1: Upstream Raw Material Acquisition &amp; Processing</w:t>
      </w:r>
    </w:p>
    <w:p>
      <w:pPr>
        <w:pStyle w:val="FirstParagraph"/>
      </w:pPr>
      <w:r>
        <w:t xml:space="preserve">Emissions from the extraction, production, and manufacturing of raw materials and components, as detailed in the BOM.</w:t>
      </w:r>
    </w:p>
    <w:p>
      <w:pPr>
        <w:numPr>
          <w:ilvl w:val="0"/>
          <w:numId w:val="1007"/>
        </w:numPr>
        <w:pStyle w:val="Compact"/>
      </w:pPr>
      <w:r>
        <w:rPr>
          <w:bCs/>
          <w:b/>
        </w:rPr>
        <w:t xml:space="preserve">Total Material Carbon Footprint: 12.33 kg CO₂e</w:t>
      </w:r>
      <w:r>
        <w:t xml:space="preserve"> </w:t>
      </w:r>
      <w:r>
        <w:t xml:space="preserve">(as calculated from the BOM table above)</w:t>
      </w:r>
    </w:p>
    <w:bookmarkEnd w:id="35"/>
    <w:bookmarkStart w:id="36" w:name="X6669a43143349c25ec93e775eebde43de53a73c"/>
    <w:p>
      <w:pPr>
        <w:pStyle w:val="Heading4"/>
      </w:pPr>
      <w:r>
        <w:t xml:space="preserve">3.3.2. Category 4: Upstream Transportation and Distribution</w:t>
      </w:r>
    </w:p>
    <w:p>
      <w:pPr>
        <w:pStyle w:val="FirstParagraph"/>
      </w:pPr>
      <w:r>
        <w:t xml:space="preserve">Emissions from the transportation of raw materials and components from European suppliers to the manufacturing facility in China, and finished goods transport from factory gate to the first European distribution hub.</w:t>
      </w:r>
    </w:p>
    <w:p>
      <w:pPr>
        <w:numPr>
          <w:ilvl w:val="0"/>
          <w:numId w:val="1008"/>
        </w:numPr>
        <w:pStyle w:val="Compact"/>
      </w:pPr>
      <w:r>
        <w:t xml:space="preserve">Product Mass for Transport = 1.25 kg = 0.00125 tonnes</w:t>
      </w:r>
    </w:p>
    <w:p>
      <w:pPr>
        <w:numPr>
          <w:ilvl w:val="0"/>
          <w:numId w:val="1008"/>
        </w:numPr>
        <w:pStyle w:val="Compact"/>
      </w:pPr>
      <w:r>
        <w:t xml:space="preserve">Upstream Transport Distance = 2500 km</w:t>
      </w:r>
    </w:p>
    <w:p>
      <w:pPr>
        <w:numPr>
          <w:ilvl w:val="0"/>
          <w:numId w:val="1008"/>
        </w:numPr>
        <w:pStyle w:val="Compact"/>
      </w:pPr>
      <w:r>
        <w:t xml:space="preserve">Emission Factor (Road Freight) = 0.09 kg CO₂e/tonne-km</w:t>
      </w:r>
    </w:p>
    <w:p>
      <w:pPr>
        <w:numPr>
          <w:ilvl w:val="0"/>
          <w:numId w:val="1008"/>
        </w:numPr>
        <w:pStyle w:val="Compact"/>
      </w:pPr>
      <w:r>
        <w:rPr>
          <w:bCs/>
          <w:b/>
        </w:rPr>
        <w:t xml:space="preserve">Upstream Transport Emissions (Inbound Components + Outbound to Distribution Hub) = (0.00125 tonnes * 2500 km * 0.09 kg CO₂e/tonne-km) * 2 (inbound &amp; outbound) = 0.56 kg CO₂e</w:t>
      </w:r>
    </w:p>
    <w:p>
      <w:pPr>
        <w:pStyle w:val="FirstParagraph"/>
      </w:pPr>
      <w:r>
        <w:rPr>
          <w:iCs/>
          <w:i/>
        </w:rPr>
        <w:t xml:space="preserve">Note: Assumes similar transport impact for both inbound European components to China and outbound finished product from China to a European distribution hub due to "Europe Focused" supply chain, for simplicity. Actual routes and modes would vary.</w:t>
      </w:r>
    </w:p>
    <w:bookmarkEnd w:id="36"/>
    <w:bookmarkStart w:id="37" w:name="Xe6a609cc71639c4bb5b5bcd247c776c9d89fa33"/>
    <w:p>
      <w:pPr>
        <w:pStyle w:val="Heading4"/>
      </w:pPr>
      <w:r>
        <w:t xml:space="preserve">3.3.3. Category 9: Downstream Transportation and Distribution (Last-Mile Delivery)</w:t>
      </w:r>
    </w:p>
    <w:p>
      <w:pPr>
        <w:pStyle w:val="FirstParagraph"/>
      </w:pPr>
      <w:r>
        <w:t xml:space="preserve">Emissions from the last-mile delivery of the finished product to the end-consumer.</w:t>
      </w:r>
    </w:p>
    <w:p>
      <w:pPr>
        <w:numPr>
          <w:ilvl w:val="0"/>
          <w:numId w:val="1009"/>
        </w:numPr>
        <w:pStyle w:val="Compact"/>
      </w:pPr>
      <w:r>
        <w:t xml:space="preserve">Product Mass for Transport = 0.00125 tonnes</w:t>
      </w:r>
    </w:p>
    <w:p>
      <w:pPr>
        <w:numPr>
          <w:ilvl w:val="0"/>
          <w:numId w:val="1009"/>
        </w:numPr>
        <w:pStyle w:val="Compact"/>
      </w:pPr>
      <w:r>
        <w:t xml:space="preserve">Last-Mile Delivery Distance = 50 km</w:t>
      </w:r>
    </w:p>
    <w:p>
      <w:pPr>
        <w:numPr>
          <w:ilvl w:val="0"/>
          <w:numId w:val="1009"/>
        </w:numPr>
        <w:pStyle w:val="Compact"/>
      </w:pPr>
      <w:r>
        <w:t xml:space="preserve">Emission Factor (Average Van) = 0.14 kg CO₂e/tonne-km</w:t>
      </w:r>
    </w:p>
    <w:p>
      <w:pPr>
        <w:numPr>
          <w:ilvl w:val="0"/>
          <w:numId w:val="1009"/>
        </w:numPr>
        <w:pStyle w:val="Compact"/>
      </w:pPr>
      <w:r>
        <w:rPr>
          <w:bCs/>
          <w:b/>
        </w:rPr>
        <w:t xml:space="preserve">Last-Mile Delivery Emissions = 0.00125 tonnes * 50 km * 0.14 kg CO₂e/tonne-km = 0.01 kg CO₂e</w:t>
      </w:r>
    </w:p>
    <w:bookmarkEnd w:id="37"/>
    <w:bookmarkStart w:id="38" w:name="category-11-use-of-sold-products"/>
    <w:p>
      <w:pPr>
        <w:pStyle w:val="Heading4"/>
      </w:pPr>
      <w:r>
        <w:t xml:space="preserve">3.3.4. Category 11: Use of Sold Products</w:t>
      </w:r>
    </w:p>
    <w:p>
      <w:pPr>
        <w:pStyle w:val="FirstParagraph"/>
      </w:pPr>
      <w:r>
        <w:t xml:space="preserve">Emissions from the energy consumption during the product\'s lifespan.</w:t>
      </w:r>
    </w:p>
    <w:p>
      <w:pPr>
        <w:numPr>
          <w:ilvl w:val="0"/>
          <w:numId w:val="1010"/>
        </w:numPr>
        <w:pStyle w:val="Compact"/>
      </w:pPr>
      <w:r>
        <w:t xml:space="preserve">Annual Energy Consumption = 12 kWh/year</w:t>
      </w:r>
    </w:p>
    <w:p>
      <w:pPr>
        <w:numPr>
          <w:ilvl w:val="0"/>
          <w:numId w:val="1010"/>
        </w:numPr>
        <w:pStyle w:val="Compact"/>
      </w:pPr>
      <w:r>
        <w:t xml:space="preserve">Product Lifespan = 4 years</w:t>
      </w:r>
    </w:p>
    <w:p>
      <w:pPr>
        <w:numPr>
          <w:ilvl w:val="0"/>
          <w:numId w:val="1010"/>
        </w:numPr>
        <w:pStyle w:val="Compact"/>
      </w:pPr>
      <w:r>
        <w:t xml:space="preserve">Total Use Phase Energy = 12 kWh/year * 4 years = 48 kWh</w:t>
      </w:r>
    </w:p>
    <w:p>
      <w:pPr>
        <w:numPr>
          <w:ilvl w:val="0"/>
          <w:numId w:val="1010"/>
        </w:numPr>
        <w:pStyle w:val="Compact"/>
      </w:pPr>
      <w:r>
        <w:t xml:space="preserve">Emission Factor (China Grid) = 0.556 kg CO₂e/kWh</w:t>
      </w:r>
    </w:p>
    <w:p>
      <w:pPr>
        <w:numPr>
          <w:ilvl w:val="0"/>
          <w:numId w:val="1010"/>
        </w:numPr>
        <w:pStyle w:val="Compact"/>
      </w:pPr>
      <w:r>
        <w:rPr>
          <w:bCs/>
          <w:b/>
        </w:rPr>
        <w:t xml:space="preserve">Use Phase Emissions = 48 kWh * 0.556 kg CO₂e/kWh = 26.69 kg CO₂e</w:t>
      </w:r>
    </w:p>
    <w:bookmarkEnd w:id="38"/>
    <w:bookmarkStart w:id="39" w:name="X9f66eef2700632e081dfe139021cb724ffcd2c5"/>
    <w:p>
      <w:pPr>
        <w:pStyle w:val="Heading4"/>
      </w:pPr>
      <w:r>
        <w:t xml:space="preserve">3.3.5. Category 12: End-of-Life Treatment of Sold Products</w:t>
      </w:r>
    </w:p>
    <w:p>
      <w:pPr>
        <w:pStyle w:val="FirstParagraph"/>
      </w:pPr>
      <w:r>
        <w:t xml:space="preserve">Emissions and avoided emissions (credits) from the end-of-life treatment, considering recyclability and circular programs.</w:t>
      </w:r>
    </w:p>
    <w:p>
      <w:pPr>
        <w:numPr>
          <w:ilvl w:val="0"/>
          <w:numId w:val="1011"/>
        </w:numPr>
        <w:pStyle w:val="Compact"/>
      </w:pPr>
      <w:r>
        <w:t xml:space="preserve">Total Material Carbon Footprint = 12.33 kg CO₂e</w:t>
      </w:r>
    </w:p>
    <w:p>
      <w:pPr>
        <w:numPr>
          <w:ilvl w:val="0"/>
          <w:numId w:val="1011"/>
        </w:numPr>
        <w:pStyle w:val="Compact"/>
      </w:pPr>
      <w:r>
        <w:t xml:space="preserve">Recyclability Percentage = 65%</w:t>
      </w:r>
    </w:p>
    <w:p>
      <w:pPr>
        <w:numPr>
          <w:ilvl w:val="0"/>
          <w:numId w:val="1011"/>
        </w:numPr>
        <w:pStyle w:val="Compact"/>
      </w:pPr>
      <w:r>
        <w:t xml:space="preserve">Circular/Take-back Programs Benefit = 15% (additional recovery/avoidance)</w:t>
      </w:r>
    </w:p>
    <w:p>
      <w:pPr>
        <w:numPr>
          <w:ilvl w:val="0"/>
          <w:numId w:val="1011"/>
        </w:numPr>
        <w:pStyle w:val="Compact"/>
      </w:pPr>
      <w:r>
        <w:t xml:space="preserve">Emissions associated with EoL processing (e.g., collection, sorting, actual recycling energy) are complex. For simplicity, we model avoided emissions.</w:t>
      </w:r>
    </w:p>
    <w:p>
      <w:pPr>
        <w:numPr>
          <w:ilvl w:val="0"/>
          <w:numId w:val="1011"/>
        </w:numPr>
        <w:pStyle w:val="Compact"/>
      </w:pPr>
      <w:r>
        <w:t xml:space="preserve">Recycled Material Avoided Emissions = 12.33 kg CO₂e * 0.65 = 8.01 kg CO₂e (as a credit)</w:t>
      </w:r>
    </w:p>
    <w:p>
      <w:pPr>
        <w:numPr>
          <w:ilvl w:val="0"/>
          <w:numId w:val="1011"/>
        </w:numPr>
        <w:pStyle w:val="Compact"/>
      </w:pPr>
      <w:r>
        <w:t xml:space="preserve">Additional Circular Program Avoided Emissions = (12.33 kg CO₂e - 8.01 kg CO₂e) * 0.15 = 0.65 kg CO₂e (reducing remaining impact)</w:t>
      </w:r>
    </w:p>
    <w:p>
      <w:pPr>
        <w:numPr>
          <w:ilvl w:val="0"/>
          <w:numId w:val="1011"/>
        </w:numPr>
        <w:pStyle w:val="Compact"/>
      </w:pPr>
      <w:r>
        <w:t xml:space="preserve">Remaining unrecovered/landfilled/incinerated impact = 12.33 kg CO₂e - 8.01 kg CO₂e - 0.65 kg CO₂e = 3.67 kg CO₂e</w:t>
      </w:r>
    </w:p>
    <w:p>
      <w:pPr>
        <w:numPr>
          <w:ilvl w:val="0"/>
          <w:numId w:val="1011"/>
        </w:numPr>
        <w:pStyle w:val="Compact"/>
      </w:pPr>
      <w:r>
        <w:rPr>
          <w:bCs/>
          <w:b/>
        </w:rPr>
        <w:t xml:space="preserve">Net End-of-Life Impact = 3.67 kg CO₂e</w:t>
      </w:r>
      <w:r>
        <w:t xml:space="preserve"> </w:t>
      </w:r>
      <w:r>
        <w:t xml:space="preserve">(This represents the residual impact after considering recycling and circular economy benefits. If a full LCA model with specific recycling process EFs was used, this could be a credit or debit).</w:t>
      </w:r>
    </w:p>
    <w:bookmarkEnd w:id="39"/>
    <w:bookmarkEnd w:id="40"/>
    <w:bookmarkStart w:id="41" w:name="X504f4a86e01fdcfa46a4589bb1b5e0cfaad8629"/>
    <w:p>
      <w:pPr>
        <w:pStyle w:val="Heading3"/>
      </w:pPr>
      <w:r>
        <w:t xml:space="preserve">3.4. 2026 Land Sector and Removals (LSR) Standard Update</w:t>
      </w:r>
    </w:p>
    <w:p>
      <w:pPr>
        <w:pStyle w:val="FirstParagraph"/>
      </w:pPr>
      <w:r>
        <w:t xml:space="preserve">In line with the 2026 LSR Standard update, this report acknowledges potential land use emissions and carbon removals associated with the product\'s value chain. For rspdszetgf, the primary focus is on industrial materials. Any specific land-use changes or biogenic carbon removals within the material supply chain (e.g., sustainably sourced timber for packaging) would be quantified and reported under the LSR Standard. For the current dataset, no specific LSR-related data was provided, but nsvktsvxyz is encouraged to track such impacts for future reporting to capture the full picture of land-related emissions and removals.</w:t>
      </w:r>
    </w:p>
    <w:p>
      <w:r>
        <w:pict>
          <v:rect style="width:0;height:1.5pt" o:hralign="center" o:hrstd="t" o:hr="t"/>
        </w:pict>
      </w:r>
    </w:p>
    <w:bookmarkEnd w:id="41"/>
    <w:bookmarkEnd w:id="42"/>
    <w:bookmarkStart w:id="44" w:name="overall-pcf-results-and-hotspots"/>
    <w:p>
      <w:pPr>
        <w:pStyle w:val="Heading2"/>
      </w:pPr>
      <w:r>
        <w:t xml:space="preserve">4. Overall PCF Results and Hotspots</w:t>
      </w:r>
    </w:p>
    <w:p>
      <w:pPr>
        <w:pStyle w:val="FirstParagraph"/>
      </w:pPr>
      <w:r>
        <w:t xml:space="preserve">The total Product Carbon Footprint for one functional unit of rspdszetgf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Scope/Category</w:t>
            </w:r>
          </w:p>
        </w:tc>
        <w:tc>
          <w:tcPr/>
          <w:p>
            <w:pPr>
              <w:pStyle w:val="Compact"/>
              <w:jc w:val="left"/>
            </w:pPr>
            <w:r>
              <w:t xml:space="preserve">Description</w:t>
            </w:r>
          </w:p>
        </w:tc>
        <w:tc>
          <w:tcPr/>
          <w:p>
            <w:pPr>
              <w:pStyle w:val="Compact"/>
              <w:jc w:val="left"/>
            </w:pPr>
            <w:r>
              <w:t xml:space="preserve">Emissions (kg CO₂e)</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Energy (Manufacturing)</w:t>
            </w:r>
          </w:p>
        </w:tc>
        <w:tc>
          <w:tcPr/>
          <w:p>
            <w:pPr>
              <w:pStyle w:val="Compact"/>
              <w:jc w:val="left"/>
            </w:pPr>
            <w:r>
              <w:t xml:space="preserve">6.67</w:t>
            </w:r>
          </w:p>
        </w:tc>
        <w:tc>
          <w:tcPr/>
          <w:p>
            <w:pPr>
              <w:pStyle w:val="Compact"/>
              <w:jc w:val="left"/>
            </w:pPr>
            <w:r>
              <w:t xml:space="preserve">13.8%</w:t>
            </w:r>
          </w:p>
        </w:tc>
      </w:tr>
      <w:tr>
        <w:tc>
          <w:tcPr/>
          <w:p>
            <w:pPr>
              <w:pStyle w:val="Compact"/>
              <w:jc w:val="left"/>
            </w:pPr>
            <w:r>
              <w:t xml:space="preserve">Scope 3, Category 1</w:t>
            </w:r>
          </w:p>
        </w:tc>
        <w:tc>
          <w:tcPr/>
          <w:p>
            <w:pPr>
              <w:pStyle w:val="Compact"/>
              <w:jc w:val="left"/>
            </w:pPr>
            <w:r>
              <w:t xml:space="preserve">Upstream Materials &amp; Processing</w:t>
            </w:r>
          </w:p>
        </w:tc>
        <w:tc>
          <w:tcPr/>
          <w:p>
            <w:pPr>
              <w:pStyle w:val="Compact"/>
              <w:jc w:val="left"/>
            </w:pPr>
            <w:r>
              <w:t xml:space="preserve">12.33</w:t>
            </w:r>
          </w:p>
        </w:tc>
        <w:tc>
          <w:tcPr/>
          <w:p>
            <w:pPr>
              <w:pStyle w:val="Compact"/>
              <w:jc w:val="left"/>
            </w:pPr>
            <w:r>
              <w:t xml:space="preserve">25.5%</w:t>
            </w:r>
          </w:p>
        </w:tc>
      </w:tr>
      <w:tr>
        <w:tc>
          <w:tcPr/>
          <w:p>
            <w:pPr>
              <w:pStyle w:val="Compact"/>
              <w:jc w:val="left"/>
            </w:pPr>
            <w:r>
              <w:t xml:space="preserve">Scope 3, Category 4</w:t>
            </w:r>
          </w:p>
        </w:tc>
        <w:tc>
          <w:tcPr/>
          <w:p>
            <w:pPr>
              <w:pStyle w:val="Compact"/>
              <w:jc w:val="left"/>
            </w:pPr>
            <w:r>
              <w:t xml:space="preserve">Upstream Transport &amp; Distribution</w:t>
            </w:r>
          </w:p>
        </w:tc>
        <w:tc>
          <w:tcPr/>
          <w:p>
            <w:pPr>
              <w:pStyle w:val="Compact"/>
              <w:jc w:val="left"/>
            </w:pPr>
            <w:r>
              <w:t xml:space="preserve">0.56</w:t>
            </w:r>
          </w:p>
        </w:tc>
        <w:tc>
          <w:tcPr/>
          <w:p>
            <w:pPr>
              <w:pStyle w:val="Compact"/>
              <w:jc w:val="left"/>
            </w:pPr>
            <w:r>
              <w:t xml:space="preserve">1.2%</w:t>
            </w:r>
          </w:p>
        </w:tc>
      </w:tr>
      <w:tr>
        <w:tc>
          <w:tcPr/>
          <w:p>
            <w:pPr>
              <w:pStyle w:val="Compact"/>
              <w:jc w:val="left"/>
            </w:pPr>
            <w:r>
              <w:t xml:space="preserve">Scope 3, Category 9</w:t>
            </w:r>
          </w:p>
        </w:tc>
        <w:tc>
          <w:tcPr/>
          <w:p>
            <w:pPr>
              <w:pStyle w:val="Compact"/>
              <w:jc w:val="left"/>
            </w:pPr>
            <w:r>
              <w:t xml:space="preserve">Downstream Transport (Last-Mile)</w:t>
            </w:r>
          </w:p>
        </w:tc>
        <w:tc>
          <w:tcPr/>
          <w:p>
            <w:pPr>
              <w:pStyle w:val="Compact"/>
              <w:jc w:val="left"/>
            </w:pPr>
            <w:r>
              <w:t xml:space="preserve">0.01</w:t>
            </w:r>
          </w:p>
        </w:tc>
        <w:tc>
          <w:tcPr/>
          <w:p>
            <w:pPr>
              <w:pStyle w:val="Compact"/>
              <w:jc w:val="left"/>
            </w:pPr>
            <w:r>
              <w:t xml:space="preserve">0.0%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26.69</w:t>
            </w:r>
          </w:p>
        </w:tc>
        <w:tc>
          <w:tcPr/>
          <w:p>
            <w:pPr>
              <w:pStyle w:val="Compact"/>
              <w:jc w:val="left"/>
            </w:pPr>
            <w:r>
              <w:t xml:space="preserve">55.2%</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3.67</w:t>
            </w:r>
          </w:p>
        </w:tc>
        <w:tc>
          <w:tcPr/>
          <w:p>
            <w:pPr>
              <w:pStyle w:val="Compact"/>
              <w:jc w:val="left"/>
            </w:pPr>
            <w:r>
              <w:t xml:space="preserve">7.6%</w:t>
            </w:r>
          </w:p>
        </w:tc>
      </w:tr>
      <w:tr>
        <w:tc>
          <w:tcPr>
            <w:gridSpan w:val="2"/>
          </w:tcPr>
          <w:p>
            <w:pPr>
              <w:pStyle w:val="Compact"/>
              <w:jc w:val="left"/>
            </w:pPr>
            <w:r>
              <w:rPr>
                <w:bCs/>
                <w:b/>
              </w:rPr>
              <w:t xml:space="preserve">TOTAL PRODUCT CARBON FOOTPRINT</w:t>
            </w:r>
          </w:p>
        </w:tc>
        <w:tc>
          <w:tcPr/>
          <w:p>
            <w:pPr>
              <w:pStyle w:val="Compact"/>
              <w:jc w:val="left"/>
            </w:pPr>
            <w:r>
              <w:rPr>
                <w:bCs/>
                <w:b/>
              </w:rPr>
              <w:t xml:space="preserve">49.93 kg CO₂e</w:t>
            </w:r>
          </w:p>
        </w:tc>
        <w:tc>
          <w:tcPr/>
          <w:p>
            <w:pPr>
              <w:pStyle w:val="Compact"/>
              <w:jc w:val="left"/>
            </w:pPr>
            <w:r>
              <w:rPr>
                <w:bCs/>
                <w:b/>
              </w:rPr>
              <w:t xml:space="preserve">100.0%</w:t>
            </w:r>
          </w:p>
        </w:tc>
      </w:tr>
    </w:tbl>
    <w:bookmarkStart w:id="43" w:name="emission-hotspots-and-reliability"/>
    <w:p>
      <w:pPr>
        <w:pStyle w:val="Heading3"/>
      </w:pPr>
      <w:r>
        <w:t xml:space="preserve">4.1. Emission Hotspots and Reliability</w:t>
      </w:r>
    </w:p>
    <w:p>
      <w:pPr>
        <w:pStyle w:val="FirstParagraph"/>
      </w:pPr>
      <w:r>
        <w:t xml:space="preserve">The analysis identifies the following key emission hotspots for rspdszetgf:</w:t>
      </w:r>
    </w:p>
    <w:p>
      <w:pPr>
        <w:numPr>
          <w:ilvl w:val="0"/>
          <w:numId w:val="1012"/>
        </w:numPr>
        <w:pStyle w:val="Compact"/>
      </w:pPr>
      <w:r>
        <w:rPr>
          <w:bCs/>
          <w:b/>
        </w:rPr>
        <w:t xml:space="preserve">Use Phase (55.2%):</w:t>
      </w:r>
      <w:r>
        <w:t xml:space="preserve"> </w:t>
      </w:r>
      <w:r>
        <w:t xml:space="preserve">The most significant contributor to the PCF is the energy consumption during the product\'s 4-year lifespan. This highlights the importance of energy efficiency in product design and consumer behavior.</w:t>
      </w:r>
    </w:p>
    <w:p>
      <w:pPr>
        <w:numPr>
          <w:ilvl w:val="0"/>
          <w:numId w:val="1012"/>
        </w:numPr>
        <w:pStyle w:val="Compact"/>
      </w:pPr>
      <w:r>
        <w:rPr>
          <w:bCs/>
          <w:b/>
        </w:rPr>
        <w:t xml:space="preserve">Upstream Raw Materials &amp; Processing (25.5%):</w:t>
      </w:r>
      <w:r>
        <w:t xml:space="preserve"> </w:t>
      </w:r>
      <w:r>
        <w:t xml:space="preserve">The production of materials, especially primary Aluminium and the populated PCB, represents a substantial portion of the footprint.</w:t>
      </w:r>
    </w:p>
    <w:p>
      <w:pPr>
        <w:numPr>
          <w:ilvl w:val="0"/>
          <w:numId w:val="1012"/>
        </w:numPr>
        <w:pStyle w:val="Compact"/>
      </w:pPr>
      <w:r>
        <w:rPr>
          <w:bCs/>
          <w:b/>
        </w:rPr>
        <w:t xml:space="preserve">Purchased Energy (Manufacturing, 13.8%):</w:t>
      </w:r>
      <w:r>
        <w:t xml:space="preserve"> </w:t>
      </w:r>
      <w:r>
        <w:t xml:space="preserve">While nsvktsvxyz utilizes 40% renewable energy, the remaining reliance on the China grid mix contributes significantly.</w:t>
      </w:r>
    </w:p>
    <w:p>
      <w:pPr>
        <w:pStyle w:val="FirstParagraph"/>
      </w:pPr>
      <w:r>
        <w:t xml:space="preserve">The reliability of this assessment is considered high for the scope defined, given the detailed BOM and specific operational data provided for key parameters. However, uncertainties remain primarily due to:</w:t>
      </w:r>
    </w:p>
    <w:p>
      <w:pPr>
        <w:numPr>
          <w:ilvl w:val="0"/>
          <w:numId w:val="1013"/>
        </w:numPr>
        <w:pStyle w:val="Compact"/>
      </w:pPr>
      <w:r>
        <w:t xml:space="preserve">The use of simulated or generic emission factors for specific material processes where exact Ecoinvent/DEFRA database access was not available.</w:t>
      </w:r>
    </w:p>
    <w:p>
      <w:pPr>
        <w:numPr>
          <w:ilvl w:val="0"/>
          <w:numId w:val="1013"/>
        </w:numPr>
        <w:pStyle w:val="Compact"/>
      </w:pPr>
      <w:r>
        <w:t xml:space="preserve">Assumptions for transport distances and modes, especially for complex global supply chains.</w:t>
      </w:r>
    </w:p>
    <w:p>
      <w:pPr>
        <w:numPr>
          <w:ilvl w:val="0"/>
          <w:numId w:val="1013"/>
        </w:numPr>
        <w:pStyle w:val="Compact"/>
      </w:pPr>
      <w:r>
        <w:t xml:space="preserve">General assumptions for the average energy grid mix in the use phase.</w:t>
      </w:r>
    </w:p>
    <w:p>
      <w:pPr>
        <w:numPr>
          <w:ilvl w:val="0"/>
          <w:numId w:val="1013"/>
        </w:numPr>
        <w:pStyle w:val="Compact"/>
      </w:pPr>
      <w:r>
        <w:t xml:space="preserve">Simplified modeling of End-of-Life impacts and circular economy benefits.</w:t>
      </w:r>
    </w:p>
    <w:p>
      <w:pPr>
        <w:pStyle w:val="FirstParagraph"/>
      </w:pPr>
      <w:r>
        <w:t xml:space="preserve">For enhanced accuracy, primary data collection from all suppliers, specific energy consumption profiles for different regions in the use phase, and detailed EoL pathway analysis would be beneficial.</w:t>
      </w:r>
    </w:p>
    <w:p>
      <w:r>
        <w:pict>
          <v:rect style="width:0;height:1.5pt" o:hralign="center" o:hrstd="t" o:hr="t"/>
        </w:pict>
      </w:r>
    </w:p>
    <w:bookmarkEnd w:id="43"/>
    <w:bookmarkEnd w:id="44"/>
    <w:bookmarkStart w:id="45" w:name="recommendations-for-emission-reduction"/>
    <w:p>
      <w:pPr>
        <w:pStyle w:val="Heading2"/>
      </w:pPr>
      <w:r>
        <w:t xml:space="preserve">5. Recommendations for Emission Reduction</w:t>
      </w:r>
    </w:p>
    <w:p>
      <w:pPr>
        <w:pStyle w:val="FirstParagraph"/>
      </w:pPr>
      <w:r>
        <w:t xml:space="preserve">Based on the identified hotspots, nsvktsvxyz should focus on the following strategies to reduce the PCF of rspdszetgf:</w:t>
      </w:r>
    </w:p>
    <w:p>
      <w:pPr>
        <w:numPr>
          <w:ilvl w:val="0"/>
          <w:numId w:val="1014"/>
        </w:numPr>
        <w:pStyle w:val="Compact"/>
      </w:pPr>
      <w:r>
        <w:rPr>
          <w:bCs/>
          <w:b/>
        </w:rPr>
        <w:t xml:space="preserve">Optimize Use Phase Energy Efficiency:</w:t>
      </w:r>
      <w:r>
        <w:t xml:space="preserve"> </w:t>
      </w:r>
      <w:r>
        <w:t xml:space="preserve">Redesign rspdszetgf for lower energy consumption during its operational life. Explore smart features, low-power modes, and educate consumers on energy-efficient usage.</w:t>
      </w:r>
    </w:p>
    <w:p>
      <w:pPr>
        <w:numPr>
          <w:ilvl w:val="0"/>
          <w:numId w:val="1014"/>
        </w:numPr>
        <w:pStyle w:val="Compact"/>
      </w:pPr>
      <w:r>
        <w:rPr>
          <w:bCs/>
          <w:b/>
        </w:rPr>
        <w:t xml:space="preserve">Material Circularity and Design for Environment (DfE):</w:t>
      </w:r>
    </w:p>
    <w:p>
      <w:pPr>
        <w:numPr>
          <w:ilvl w:val="1"/>
          <w:numId w:val="1015"/>
        </w:numPr>
        <w:pStyle w:val="Compact"/>
      </w:pPr>
      <w:r>
        <w:t xml:space="preserve">Increase recycled content for high-impact materials (e.g., Aluminium, plastics).</w:t>
      </w:r>
    </w:p>
    <w:p>
      <w:pPr>
        <w:numPr>
          <w:ilvl w:val="1"/>
          <w:numId w:val="1015"/>
        </w:numPr>
        <w:pStyle w:val="Compact"/>
      </w:pPr>
      <w:r>
        <w:t xml:space="preserve">Investigate alternative, lower-carbon materials for the PCB and battery components.</w:t>
      </w:r>
    </w:p>
    <w:p>
      <w:pPr>
        <w:numPr>
          <w:ilvl w:val="1"/>
          <w:numId w:val="1015"/>
        </w:numPr>
        <w:pStyle w:val="Compact"/>
      </w:pPr>
      <w:r>
        <w:t xml:space="preserve">Design for modularity, repairability, and easier disassembly to improve actual recycling rates and enable reuse.</w:t>
      </w:r>
    </w:p>
    <w:p>
      <w:pPr>
        <w:numPr>
          <w:ilvl w:val="0"/>
          <w:numId w:val="1014"/>
        </w:numPr>
        <w:pStyle w:val="Compact"/>
      </w:pPr>
      <w:r>
        <w:rPr>
          <w:bCs/>
          <w:b/>
        </w:rPr>
        <w:t xml:space="preserve">Decarbonize Manufacturing Operations (Scope 2):</w:t>
      </w:r>
    </w:p>
    <w:p>
      <w:pPr>
        <w:numPr>
          <w:ilvl w:val="1"/>
          <w:numId w:val="1016"/>
        </w:numPr>
        <w:pStyle w:val="Compact"/>
      </w:pPr>
      <w:r>
        <w:t xml:space="preserve">Increase renewable energy procurement beyond 40% at the China manufacturing facility.</w:t>
      </w:r>
    </w:p>
    <w:p>
      <w:pPr>
        <w:numPr>
          <w:ilvl w:val="1"/>
          <w:numId w:val="1016"/>
        </w:numPr>
        <w:pStyle w:val="Compact"/>
      </w:pPr>
      <w:r>
        <w:t xml:space="preserve">Explore Power Purchase Agreements (PPAs) for additional renewable electricity.</w:t>
      </w:r>
    </w:p>
    <w:p>
      <w:pPr>
        <w:numPr>
          <w:ilvl w:val="1"/>
          <w:numId w:val="1016"/>
        </w:numPr>
        <w:pStyle w:val="Compact"/>
      </w:pPr>
      <w:r>
        <w:t xml:space="preserve">Implement energy efficiency measures within the factory.</w:t>
      </w:r>
    </w:p>
    <w:p>
      <w:pPr>
        <w:numPr>
          <w:ilvl w:val="0"/>
          <w:numId w:val="1014"/>
        </w:numPr>
        <w:pStyle w:val="Compact"/>
      </w:pPr>
      <w:r>
        <w:rPr>
          <w:bCs/>
          <w:b/>
        </w:rPr>
        <w:t xml:space="preserve">Enhance Circular Economy Programs (Scope 3, Category 12):</w:t>
      </w:r>
      <w:r>
        <w:t xml:space="preserve"> </w:t>
      </w:r>
      <w:r>
        <w:t xml:space="preserve">Strengthen take-back schemes and partnerships for product reuse and high-value recycling to maximize avoided emissions and minimize end-of-life impacts.</w:t>
      </w:r>
    </w:p>
    <w:p>
      <w:pPr>
        <w:numPr>
          <w:ilvl w:val="0"/>
          <w:numId w:val="1014"/>
        </w:numPr>
        <w:pStyle w:val="Compact"/>
      </w:pPr>
      <w:r>
        <w:rPr>
          <w:bCs/>
          <w:b/>
        </w:rPr>
        <w:t xml:space="preserve">Supply Chain Engagement (Scope 3, Category 1 &amp; 4):</w:t>
      </w:r>
      <w:r>
        <w:t xml:space="preserve"> </w:t>
      </w:r>
      <w:r>
        <w:t xml:space="preserve">Engage with European material suppliers to understand and reduce their emissions, and optimize logistics for lower-impact transport modes (e.g., rail or sea over long-haul road where feasible) and route efficiency.</w:t>
      </w:r>
    </w:p>
    <w:p>
      <w:pPr>
        <w:pStyle w:val="FirstParagraph"/>
      </w:pPr>
      <w:r>
        <w:t xml:space="preserve">Ongoing monitoring and annual updates to this PCF analysis, with a focus on collecting more primary data, will enable nsvktsvxyz to track progress towards its sustainability goals.</w:t>
      </w:r>
    </w:p>
    <w:p>
      <w:pPr>
        <w:pStyle w:val="BodyText"/>
      </w:pPr>
      <w:r>
        <w:t xml:space="preserve">Confidential - Internal Use Only | Page</w:t>
      </w:r>
      <w:r>
        <w:t xml:space="preserve"> </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rspdszetgf</dc:title>
  <dc:creator/>
  <dc:description>Detailed Product Carbon Footprint (PCF) analysis for product rspdszetgf, performed by nsvktsvxyz, specializing in GHG Protocol.</dc:description>
  <dc:language>en</dc:language>
  <cp:keywords/>
  <dcterms:created xsi:type="dcterms:W3CDTF">2026-07-15T08:30:06Z</dcterms:created>
  <dcterms:modified xsi:type="dcterms:W3CDTF">2026-07-15T08:30:06Z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