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ripxpwevsg</w:t>
      </w:r>
    </w:p>
    <w:bookmarkStart w:id="20" w:name="carboncalcpcf.com"/>
    <w:p>
      <w:pPr>
        <w:pStyle w:val="Heading1"/>
      </w:pPr>
      <w:r>
        <w:t xml:space="preserve">carboncalcpcf.com</w:t>
      </w:r>
    </w:p>
    <w:p>
      <w:pPr>
        <w:pStyle w:val="FirstParagraph"/>
      </w:pPr>
      <w:r>
        <w:t xml:space="preserve">Product Carbon Footprint Analysis Report</w:t>
      </w:r>
    </w:p>
    <w:p>
      <w:pPr>
        <w:pStyle w:val="BodyText"/>
      </w:pPr>
      <w:r>
        <w:rPr>
          <w:bCs/>
          <w:b/>
        </w:rPr>
        <w:t xml:space="preserve">Product:</w:t>
      </w:r>
      <w:r>
        <w:t xml:space="preserve"> </w:t>
      </w:r>
      <w:r>
        <w:t xml:space="preserve">ripxpwevsg</w:t>
      </w:r>
    </w:p>
    <w:p>
      <w:pPr>
        <w:pStyle w:val="BodyText"/>
      </w:pPr>
      <w:r>
        <w:rPr>
          <w:bCs/>
          <w:b/>
        </w:rPr>
        <w:t xml:space="preserve">Name of the Company:</w:t>
      </w:r>
      <w:r>
        <w:t xml:space="preserve"> </w:t>
      </w:r>
      <w:r>
        <w:t xml:space="preserve">wopzzvmjeo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qsytmmmody</w:t>
      </w:r>
    </w:p>
    <w:p>
      <w:pPr>
        <w:pStyle w:val="BodyText"/>
      </w:pPr>
      <w:r>
        <w:t xml:space="preserve">This report is generated based on available data and industry standards. While every effort has been made to ensure accuracy, specific values may vary based on real-world conditions and further granular data collection.</w:t>
      </w:r>
    </w:p>
    <w:bookmarkEnd w:id="20"/>
    <w:bookmarkStart w:id="21" w:name="X1472118825330590d496abe757eb83865ab3ddf"/>
    <w:p>
      <w:pPr>
        <w:pStyle w:val="Heading1"/>
      </w:pPr>
      <w:r>
        <w:t xml:space="preserve">Product Carbon Footprint Analysis: ripxpwevsg</w:t>
      </w:r>
    </w:p>
    <w:p>
      <w:pPr>
        <w:pStyle w:val="FirstParagraph"/>
      </w:pPr>
      <w:r>
        <w:t xml:space="preserve">Generated Date: June 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\'ripxpwevsg\', manufactured by wopzzvmjeo. Conducted by Senior Sustainability Consultant qsytmmmody, this analysis adheres strictly to the GHG Protocol, including the 2026 Land Sector and Removals (LSR) Standard. The assessment covers the entire lifecycle from raw material acquisition (cradle) to the factory gate, and extends through the use phase and end-of-life (grave) for comprehensive Scope 3 accounting. Key emission hotspots have been identified across materials, production, transport, use, and end-of-life stages to provide actionable insights for emission reduction strategies.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for \'ripxpwevsg\' was calculated following the five-step methodology of the GHG Protocol, ensuring a robust and transparent assessment of greenhouse gas (GHG) emissions across the product\'s lifecycle. This analysis is fully compliant with the GHG Protocol\'s Corporate Accounting and Reporting Standard and the Product Life Cycle Accounting and Reporting Standard.</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ripxpwevsg</w:t>
      </w:r>
      <w:r>
        <w:t xml:space="preserve">. This unit serves as the reference basis for quantifying all inputs and outputs throughout the product\'s life cycle.</w:t>
      </w:r>
    </w:p>
    <w:bookmarkEnd w:id="23"/>
    <w:bookmarkStart w:id="24"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 with an extension to cover the full lifecycle (cradle-to-grave) for a comprehensive Scope 3 analysis</w:t>
      </w:r>
      <w:r>
        <w:t xml:space="preserve">. This includes:</w:t>
      </w:r>
    </w:p>
    <w:p>
      <w:pPr>
        <w:numPr>
          <w:ilvl w:val="0"/>
          <w:numId w:val="1001"/>
        </w:numPr>
        <w:pStyle w:val="Compact"/>
      </w:pPr>
      <w:r>
        <w:rPr>
          <w:bCs/>
          <w:b/>
        </w:rPr>
        <w:t xml:space="preserve">Upstream (Scope 3):</w:t>
      </w:r>
      <w:r>
        <w:t xml:space="preserve"> </w:t>
      </w:r>
      <w:r>
        <w:t xml:space="preserve">Extraction and processing of raw materials (detailed Bill of Materials), manufacturing of components, and upstream transportation to the production facility.</w:t>
      </w:r>
    </w:p>
    <w:p>
      <w:pPr>
        <w:numPr>
          <w:ilvl w:val="0"/>
          <w:numId w:val="1001"/>
        </w:numPr>
        <w:pStyle w:val="Compact"/>
      </w:pPr>
      <w:r>
        <w:rPr>
          <w:bCs/>
          <w:b/>
        </w:rPr>
        <w:t xml:space="preserve">Core (Scope 1 &amp; 2):</w:t>
      </w:r>
      <w:r>
        <w:t xml:space="preserve"> </w:t>
      </w:r>
      <w:r>
        <w:t xml:space="preserve">Manufacturing processes at the wopzzvmjeo production facility, including direct emissions (Scope 1 - not quantified as specific direct fuel use was not provided) and purchased electricity (Scope 2).</w:t>
      </w:r>
    </w:p>
    <w:p>
      <w:pPr>
        <w:numPr>
          <w:ilvl w:val="0"/>
          <w:numId w:val="1001"/>
        </w:numPr>
        <w:pStyle w:val="Compact"/>
      </w:pPr>
      <w:r>
        <w:rPr>
          <w:bCs/>
          <w:b/>
        </w:rPr>
        <w:t xml:space="preserve">Downstream (Scope 3):</w:t>
      </w:r>
      <w:r>
        <w:t xml:space="preserve"> </w:t>
      </w:r>
      <w:r>
        <w:t xml:space="preserve">Transportation and distribution to the end-user, the use phase of the product, and its end-of-life treatment.</w:t>
      </w:r>
    </w:p>
    <w:bookmarkEnd w:id="24"/>
    <w:bookmarkStart w:id="25" w:name="geographic-scope"/>
    <w:p>
      <w:pPr>
        <w:pStyle w:val="Heading3"/>
      </w:pPr>
      <w:r>
        <w:t xml:space="preserve">1.3. Geographic Scope</w:t>
      </w:r>
    </w:p>
    <w:p>
      <w:pPr>
        <w:pStyle w:val="FirstParagraph"/>
      </w:pPr>
      <w:r>
        <w:t xml:space="preserve">The geographic scope of this analysis covers the following:</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indicating primary market and downstream distribution in Europe.</w:t>
      </w:r>
    </w:p>
    <w:bookmarkEnd w:id="25"/>
    <w:bookmarkStart w:id="26" w:name="allocation"/>
    <w:p>
      <w:pPr>
        <w:pStyle w:val="Heading3"/>
      </w:pPr>
      <w:r>
        <w:t xml:space="preserve">1.4. Allocation</w:t>
      </w:r>
    </w:p>
    <w:p>
      <w:pPr>
        <w:pStyle w:val="FirstParagraph"/>
      </w:pPr>
      <w:r>
        <w:t xml:space="preserve">Allocation of emissions for co-products or multi-functional processes was performed on a direct physical basis where applicable. For single-product systems, all emissions are directly attributed to the functional unit. Avoided emissions from recycling at End-of-Life are included as a credit.</w:t>
      </w:r>
    </w:p>
    <w:p>
      <w:r>
        <w:pict>
          <v:rect style="width:0;height:1.5pt" o:hralign="center" o:hrstd="t" o:hr="t"/>
        </w:pict>
      </w:r>
    </w:p>
    <w:bookmarkEnd w:id="26"/>
    <w:bookmarkEnd w:id="27"/>
    <w:bookmarkStart w:id="33" w:name="X4b684f0923505ee0e203ec3a1a920fbe001e526"/>
    <w:p>
      <w:pPr>
        <w:pStyle w:val="Heading2"/>
      </w:pPr>
      <w:r>
        <w:t xml:space="preserve">2. &amp; 3. Lifecycle Mapping (LCI Inventory) &amp; Data Collection</w:t>
      </w:r>
    </w:p>
    <w:p>
      <w:pPr>
        <w:pStyle w:val="FirstParagraph"/>
      </w:pPr>
      <w:r>
        <w:t xml:space="preserve">The lifecycle of \'ripxpwevsg\' was mapped into five distinct stages to systematically collect inventory data and calculate emissions. Data was collected using a hybrid approach, leveraging primary data from wopzzvmjeo (e.g., BOM, energy usage, transport parameters) and secondary, industry-standard emission factors (e.g., Ecoinvent/DEFRA) for generic processes and energy grids.</w:t>
      </w:r>
    </w:p>
    <w:bookmarkStart w:id="28" w:name="X77f6e5879214df0b89a9332db927aa2f934416f"/>
    <w:p>
      <w:pPr>
        <w:pStyle w:val="Heading3"/>
      </w:pPr>
      <w:r>
        <w:t xml:space="preserve">2.1. Materials Acquisition &amp; Pre-processing (Scope 3 - Category 1: Purchased Goods and Services)</w:t>
      </w:r>
    </w:p>
    <w:p>
      <w:pPr>
        <w:pStyle w:val="FirstParagraph"/>
      </w:pPr>
      <w:r>
        <w:t xml:space="preserve">The Bill of Materials (BOM) for \'ripxpwevsg\' provides detailed insights into the material composition and their associated upstream carbon impacts. The emission factors are applied to the quantity of each material used.</w:t>
      </w:r>
    </w:p>
    <w:p>
      <w:pPr>
        <w:pStyle w:val="BodyText"/>
      </w:pPr>
      <w:r>
        <w:rPr>
          <w:bCs/>
          <w:b/>
        </w:rPr>
        <w:t xml:space="preserve">Detailed Bill of Materials (BOM) for ripxpwevsg: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(Calculated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Metal Components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p>
      <w:pPr>
        <w:pStyle w:val="BodyText"/>
      </w:pPr>
      <w:r>
        <w:t xml:space="preserve">Total Material Emissions:</w:t>
      </w:r>
      <w:r>
        <w:t xml:space="preserve"> </w:t>
      </w:r>
      <w:r>
        <w:rPr>
          <w:bCs/>
          <w:b/>
        </w:rPr>
        <w:t xml:space="preserve">3.80 kg CO2e</w:t>
      </w:r>
    </w:p>
    <w:bookmarkEnd w:id="28"/>
    <w:bookmarkStart w:id="29" w:name="X2a30df654fc0a79a1dd8ac9abc706fc604bd61c"/>
    <w:p>
      <w:pPr>
        <w:pStyle w:val="Heading3"/>
      </w:pPr>
      <w:r>
        <w:t xml:space="preserve">2.2. Manufacturing / Production (Scope 2: Purchased Electricity)</w:t>
      </w:r>
    </w:p>
    <w:p>
      <w:pPr>
        <w:pStyle w:val="FirstParagraph"/>
      </w:pPr>
      <w:r>
        <w:t xml:space="preserve">The production phase involves the assembly and finishing of \'ripxpwevsg\' in China.</w:t>
      </w:r>
    </w:p>
    <w:p>
      <w:pPr>
        <w:numPr>
          <w:ilvl w:val="0"/>
          <w:numId w:val="1003"/>
        </w:numPr>
        <w:pStyle w:val="Compact"/>
      </w:pPr>
      <w:r>
        <w:rPr>
          <w:bCs/>
          <w:b/>
        </w:rPr>
        <w:t xml:space="preserve">Energy Intensity:</w:t>
      </w:r>
      <w:r>
        <w:t xml:space="preserve"> </w:t>
      </w:r>
      <w:r>
        <w:t xml:space="preserve">5.0 kWh/unit [cite: ppvidphzjq]</w:t>
      </w:r>
    </w:p>
    <w:p>
      <w:pPr>
        <w:numPr>
          <w:ilvl w:val="0"/>
          <w:numId w:val="1003"/>
        </w:numPr>
        <w:pStyle w:val="Compact"/>
      </w:pPr>
      <w:r>
        <w:rPr>
          <w:bCs/>
          <w:b/>
        </w:rPr>
        <w:t xml:space="preserve">Renewable Energy Usage:</w:t>
      </w:r>
      <w:r>
        <w:t xml:space="preserve"> </w:t>
      </w:r>
      <w:r>
        <w:t xml:space="preserve">30% [cite: wtgfgmyent]</w:t>
      </w:r>
    </w:p>
    <w:p>
      <w:pPr>
        <w:numPr>
          <w:ilvl w:val="0"/>
          <w:numId w:val="1003"/>
        </w:numPr>
        <w:pStyle w:val="Compact"/>
      </w:pPr>
      <w:r>
        <w:rPr>
          <w:bCs/>
          <w:b/>
        </w:rPr>
        <w:t xml:space="preserve">Non-renewable Electricity Consumption:</w:t>
      </w:r>
      <w:r>
        <w:t xml:space="preserve"> </w:t>
      </w:r>
      <w:r>
        <w:t xml:space="preserve">5.0 kWh/unit * (1 - 0.30) = 3.5 kWh/unit</w:t>
      </w:r>
    </w:p>
    <w:p>
      <w:pPr>
        <w:numPr>
          <w:ilvl w:val="0"/>
          <w:numId w:val="1003"/>
        </w:numPr>
        <w:pStyle w:val="Compact"/>
      </w:pPr>
      <w:r>
        <w:rPr>
          <w:bCs/>
          <w:b/>
        </w:rPr>
        <w:t xml:space="preserve">Renewable Electricity Consumption:</w:t>
      </w:r>
      <w:r>
        <w:t xml:space="preserve"> </w:t>
      </w:r>
      <w:r>
        <w:t xml:space="preserve">5.0 kWh/unit * 0.30 = 1.5 kWh/unit</w:t>
      </w:r>
    </w:p>
    <w:p>
      <w:pPr>
        <w:numPr>
          <w:ilvl w:val="0"/>
          <w:numId w:val="1003"/>
        </w:numPr>
        <w:pStyle w:val="Compact"/>
      </w:pPr>
      <w:r>
        <w:rPr>
          <w:bCs/>
          <w:b/>
        </w:rPr>
        <w:t xml:space="preserve">Electricity Grid Emission Factor (China):</w:t>
      </w:r>
      <w:r>
        <w:t xml:space="preserve"> </w:t>
      </w:r>
      <w:r>
        <w:t xml:space="preserve">0.6205 kg CO2e/kWh</w:t>
      </w:r>
    </w:p>
    <w:bookmarkEnd w:id="29"/>
    <w:bookmarkStart w:id="30" w:name="Xea4db01b781d2c9a225494ce81d7c0cd493e7ae"/>
    <w:p>
      <w:pPr>
        <w:pStyle w:val="Heading3"/>
      </w:pPr>
      <w:r>
        <w:t xml:space="preserve">2.3. Transportation and Distribution (Scope 3 - Category 4: Upstream &amp; Category 9: Downstream)</w:t>
      </w:r>
    </w:p>
    <w:p>
      <w:pPr>
        <w:pStyle w:val="FirstParagraph"/>
      </w:pPr>
      <w:r>
        <w:t xml:space="preserve">Logistics play a significant role in the product\'s carbon footprint, covering transport from component suppliers to the factory, and from the factory to the end-user. The total weight of the product for transport calculation is assumed to be the sum of material weights, approximately 0.85 kg.</w:t>
      </w:r>
    </w:p>
    <w:p>
      <w:pPr>
        <w:numPr>
          <w:ilvl w:val="0"/>
          <w:numId w:val="1004"/>
        </w:numPr>
        <w:pStyle w:val="Compact"/>
      </w:pPr>
      <w:r>
        <w:rPr>
          <w:bCs/>
          <w:b/>
        </w:rPr>
        <w:t xml:space="preserve">Transport Mode (Main Transit):</w:t>
      </w:r>
      <w:r>
        <w:t xml:space="preserve"> </w:t>
      </w:r>
      <w:r>
        <w:t xml:space="preserve">Ocean Freight (container ship) and Truck (heavy-duty) [cite: Select Mode]</w:t>
      </w:r>
    </w:p>
    <w:p>
      <w:pPr>
        <w:numPr>
          <w:ilvl w:val="0"/>
          <w:numId w:val="1004"/>
        </w:numPr>
        <w:pStyle w:val="Compact"/>
      </w:pPr>
      <w:r>
        <w:rPr>
          <w:bCs/>
          <w:b/>
        </w:rPr>
        <w:t xml:space="preserve">Transport Distance (Main Transit):</w:t>
      </w:r>
      <w:r>
        <w:t xml:space="preserve"> </w:t>
      </w:r>
      <w:r>
        <w:t xml:space="preserve">20,000 km (ocean), 500 km (truck) [cite: huoqtgflpk]</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Heavy-Duty Truck Emission Factor:</w:t>
      </w:r>
      <w:r>
        <w:t xml:space="preserve"> </w:t>
      </w:r>
      <w:r>
        <w:t xml:space="preserve">0.07392 kg CO2e/tonne-km</w:t>
      </w:r>
    </w:p>
    <w:p>
      <w:pPr>
        <w:numPr>
          <w:ilvl w:val="0"/>
          <w:numId w:val="1004"/>
        </w:numPr>
        <w:pStyle w:val="Compact"/>
      </w:pPr>
      <w:r>
        <w:rPr>
          <w:bCs/>
          <w:b/>
        </w:rPr>
        <w:t xml:space="preserve">Last-Mile Delivery Channel:</w:t>
      </w:r>
      <w:r>
        <w:t xml:space="preserve"> </w:t>
      </w:r>
      <w:r>
        <w:t xml:space="preserve">Light Commercial Van [cite: Delivery Type]</w:t>
      </w:r>
    </w:p>
    <w:p>
      <w:pPr>
        <w:numPr>
          <w:ilvl w:val="0"/>
          <w:numId w:val="1004"/>
        </w:numPr>
        <w:pStyle w:val="Compact"/>
      </w:pPr>
      <w:r>
        <w:rPr>
          <w:bCs/>
          <w:b/>
        </w:rPr>
        <w:t xml:space="preserve">Assumed Last-Mile Distance:</w:t>
      </w:r>
      <w:r>
        <w:t xml:space="preserve"> </w:t>
      </w:r>
      <w:r>
        <w:t xml:space="preserve">50 km (typical estimate)</w:t>
      </w:r>
    </w:p>
    <w:p>
      <w:pPr>
        <w:numPr>
          <w:ilvl w:val="0"/>
          <w:numId w:val="1004"/>
        </w:numPr>
        <w:pStyle w:val="Compact"/>
      </w:pPr>
      <w:r>
        <w:rPr>
          <w:bCs/>
          <w:b/>
        </w:rPr>
        <w:t xml:space="preserve">Light Commercial Van Emission Factor:</w:t>
      </w:r>
      <w:r>
        <w:t xml:space="preserve"> </w:t>
      </w:r>
      <w:r>
        <w:t xml:space="preserve">0.24934 kg CO2e/km</w:t>
      </w:r>
    </w:p>
    <w:bookmarkEnd w:id="30"/>
    <w:bookmarkStart w:id="31" w:name="X687445901a9235e23446a36286990b6b14efa53"/>
    <w:p>
      <w:pPr>
        <w:pStyle w:val="Heading3"/>
      </w:pPr>
      <w:r>
        <w:t xml:space="preserve">2.4. Use Phase (Scope 3 - Category 11: Use of Sold Products)</w:t>
      </w:r>
    </w:p>
    <w:p>
      <w:pPr>
        <w:pStyle w:val="FirstParagraph"/>
      </w:pPr>
      <w:r>
        <w:t xml:space="preserve">The energy consumed during the product\'s operational lifespan significantly contributes to its overall footprint.</w:t>
      </w:r>
    </w:p>
    <w:p>
      <w:pPr>
        <w:numPr>
          <w:ilvl w:val="0"/>
          <w:numId w:val="1005"/>
        </w:numPr>
        <w:pStyle w:val="Compact"/>
      </w:pPr>
      <w:r>
        <w:rPr>
          <w:bCs/>
          <w:b/>
        </w:rPr>
        <w:t xml:space="preserve">Product Lifespan:</w:t>
      </w:r>
      <w:r>
        <w:t xml:space="preserve"> </w:t>
      </w:r>
      <w:r>
        <w:t xml:space="preserve">5 years [cite: mtlpqojrgk]</w:t>
      </w:r>
    </w:p>
    <w:p>
      <w:pPr>
        <w:numPr>
          <w:ilvl w:val="0"/>
          <w:numId w:val="1005"/>
        </w:numPr>
        <w:pStyle w:val="Compact"/>
      </w:pPr>
      <w:r>
        <w:rPr>
          <w:bCs/>
          <w:b/>
        </w:rPr>
        <w:t xml:space="preserve">Energy Consumption in Use:</w:t>
      </w:r>
      <w:r>
        <w:t xml:space="preserve"> </w:t>
      </w:r>
      <w:r>
        <w:t xml:space="preserve">10 kWh/year [cite: nqdupwtjdh]</w:t>
      </w:r>
    </w:p>
    <w:p>
      <w:pPr>
        <w:numPr>
          <w:ilvl w:val="0"/>
          <w:numId w:val="1005"/>
        </w:numPr>
        <w:pStyle w:val="Compact"/>
      </w:pPr>
      <w:r>
        <w:rPr>
          <w:bCs/>
          <w:b/>
        </w:rPr>
        <w:t xml:space="preserve">Total Energy Consumption over Lifespan:</w:t>
      </w:r>
      <w:r>
        <w:t xml:space="preserve"> </w:t>
      </w:r>
      <w:r>
        <w:t xml:space="preserve">50 kWh</w:t>
      </w:r>
    </w:p>
    <w:p>
      <w:pPr>
        <w:numPr>
          <w:ilvl w:val="0"/>
          <w:numId w:val="1005"/>
        </w:numPr>
        <w:pStyle w:val="Compact"/>
      </w:pPr>
      <w:r>
        <w:rPr>
          <w:bCs/>
          <w:b/>
        </w:rPr>
        <w:t xml:space="preserve">Average European Electricity Grid Emission Factor (for Use Phase):</w:t>
      </w:r>
      <w:r>
        <w:t xml:space="preserve"> </w:t>
      </w:r>
      <w:r>
        <w:t xml:space="preserve">0.28 kg CO2e/kWh</w:t>
      </w:r>
    </w:p>
    <w:bookmarkEnd w:id="31"/>
    <w:bookmarkStart w:id="32" w:name="X771af2267ebd1370d4d978f60d6a0e9044c8834"/>
    <w:p>
      <w:pPr>
        <w:pStyle w:val="Heading3"/>
      </w:pPr>
      <w:r>
        <w:t xml:space="preserve">2.5. End-of-Life (EoL) (Scope 3 - Category 12: End-of-Life Treatment of Sold Products)</w:t>
      </w:r>
    </w:p>
    <w:p>
      <w:pPr>
        <w:pStyle w:val="FirstParagraph"/>
      </w:pPr>
      <w:r>
        <w:t xml:space="preserve">End-of-life scenarios, particularly recycling, contribute to reducing the overall footprint through avoided emissions.</w:t>
      </w:r>
    </w:p>
    <w:p>
      <w:pPr>
        <w:numPr>
          <w:ilvl w:val="0"/>
          <w:numId w:val="1006"/>
        </w:numPr>
        <w:pStyle w:val="Compact"/>
      </w:pPr>
      <w:r>
        <w:rPr>
          <w:bCs/>
          <w:b/>
        </w:rPr>
        <w:t xml:space="preserve">Recyclability Percentage:</w:t>
      </w:r>
      <w:r>
        <w:t xml:space="preserve"> </w:t>
      </w:r>
      <w:r>
        <w:t xml:space="preserve">70% [cite: fxzpdjghfo]</w:t>
      </w:r>
    </w:p>
    <w:p>
      <w:pPr>
        <w:numPr>
          <w:ilvl w:val="0"/>
          <w:numId w:val="1006"/>
        </w:numPr>
        <w:pStyle w:val="Compact"/>
      </w:pPr>
      <w:r>
        <w:rPr>
          <w:bCs/>
          <w:b/>
        </w:rPr>
        <w:t xml:space="preserve">Circular/Take-back Programs:</w:t>
      </w:r>
      <w:r>
        <w:t xml:space="preserve"> </w:t>
      </w:r>
      <w:r>
        <w:t xml:space="preserve">Product take-back program for material recovery [cite: msxsyjsvut]</w:t>
      </w:r>
    </w:p>
    <w:p>
      <w:r>
        <w:pict>
          <v:rect style="width:0;height:1.5pt" o:hralign="center" o:hrstd="t" o:hr="t"/>
        </w:pict>
      </w:r>
    </w:p>
    <w:bookmarkEnd w:id="32"/>
    <w:bookmarkEnd w:id="33"/>
    <w:bookmarkStart w:id="37" w:name="ghg-emissions-calculation"/>
    <w:p>
      <w:pPr>
        <w:pStyle w:val="Heading2"/>
      </w:pPr>
      <w:r>
        <w:t xml:space="preserve">4. GHG Emissions Calculation</w:t>
      </w:r>
    </w:p>
    <w:p>
      <w:pPr>
        <w:pStyle w:val="FirstParagraph"/>
      </w:pPr>
      <w:r>
        <w:t xml:space="preserve">Emissions were calculated by multiplying activity data (e.g., material quantity, energy consumption, transport distance) by the relevant emission factors. All results are expressed in kilograms of carbon dioxide equivalent (kg CO2e).</w:t>
      </w:r>
    </w:p>
    <w:bookmarkStart w:id="34" w:name="X4a56584e5aedcc9d2b11c8b614b385724f5f94c"/>
    <w:p>
      <w:pPr>
        <w:pStyle w:val="Heading3"/>
      </w:pPr>
      <w:r>
        <w:t xml:space="preserve">4.1. Breakdown by Lifecycle Stage and GHG Scope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rPr>
                <w:bCs/>
                <w:b/>
              </w:rPr>
              <w:t xml:space="preserve">Materials Acquisition &amp; Pre-processing</w:t>
            </w:r>
          </w:p>
        </w:tc>
        <w:tc>
          <w:tcPr/>
          <w:p>
            <w:pPr>
              <w:pStyle w:val="Compact"/>
              <w:jc w:val="left"/>
            </w:pPr>
            <w:r>
              <w:t xml:space="preserve">Scope 3 (Category 1)</w:t>
            </w:r>
          </w:p>
        </w:tc>
        <w:tc>
          <w:tcPr/>
          <w:p>
            <w:pPr>
              <w:pStyle w:val="Compact"/>
              <w:jc w:val="left"/>
            </w:pPr>
            <w:r>
              <w:t xml:space="preserve">Sum of BOM material quantities x factors</w:t>
            </w:r>
          </w:p>
        </w:tc>
        <w:tc>
          <w:tcPr/>
          <w:p>
            <w:pPr>
              <w:pStyle w:val="Compact"/>
              <w:jc w:val="left"/>
            </w:pPr>
            <w:r>
              <w:t xml:space="preserve">Various (from BOM)</w:t>
            </w:r>
          </w:p>
        </w:tc>
        <w:tc>
          <w:tcPr/>
          <w:p>
            <w:pPr>
              <w:pStyle w:val="Compact"/>
              <w:jc w:val="left"/>
            </w:pPr>
            <w:r>
              <w:t xml:space="preserve">3.80</w:t>
            </w:r>
          </w:p>
        </w:tc>
      </w:tr>
      <w:tr>
        <w:tc>
          <w:tcPr/>
          <w:p>
            <w:pPr>
              <w:pStyle w:val="Compact"/>
              <w:jc w:val="left"/>
            </w:pPr>
            <w:r>
              <w:rPr>
                <w:bCs/>
                <w:b/>
              </w:rPr>
              <w:t xml:space="preserve">Manufacturing / Production</w:t>
            </w:r>
          </w:p>
        </w:tc>
        <w:tc>
          <w:tcPr/>
          <w:p>
            <w:pPr>
              <w:pStyle w:val="Compact"/>
              <w:jc w:val="left"/>
            </w:pPr>
            <w:r>
              <w:t xml:space="preserve">Scope 2</w:t>
            </w:r>
          </w:p>
        </w:tc>
        <w:tc>
          <w:tcPr/>
          <w:p>
            <w:pPr>
              <w:pStyle w:val="Compact"/>
              <w:jc w:val="left"/>
            </w:pPr>
            <w:r>
              <w:t xml:space="preserve">3.5 kWh non-renewable electricity / unit</w:t>
            </w:r>
          </w:p>
        </w:tc>
        <w:tc>
          <w:tcPr/>
          <w:p>
            <w:pPr>
              <w:pStyle w:val="Compact"/>
              <w:jc w:val="left"/>
            </w:pPr>
            <w:r>
              <w:t xml:space="preserve">0.6205 kg CO2e/kWh (China Grid)</w:t>
            </w:r>
          </w:p>
        </w:tc>
        <w:tc>
          <w:tcPr/>
          <w:p>
            <w:pPr>
              <w:pStyle w:val="Compact"/>
              <w:jc w:val="left"/>
            </w:pPr>
            <w:r>
              <w:t xml:space="preserve">2.17</w:t>
            </w:r>
          </w:p>
        </w:tc>
      </w:tr>
      <w:tr>
        <w:tc>
          <w:tcPr>
            <w:vMerge w:val="restart"/>
          </w:tcPr>
          <w:p>
            <w:pPr>
              <w:pStyle w:val="Compact"/>
              <w:jc w:val="left"/>
            </w:pPr>
            <w:r>
              <w:rPr>
                <w:bCs/>
                <w:b/>
              </w:rPr>
              <w:t xml:space="preserve">Transportation &amp; Distribution</w:t>
            </w:r>
          </w:p>
        </w:tc>
        <w:tc>
          <w:tcPr>
            <w:vMerge w:val="restart"/>
          </w:tcPr>
          <w:p>
            <w:pPr>
              <w:pStyle w:val="Compact"/>
              <w:jc w:val="left"/>
            </w:pPr>
            <w:r>
              <w:t xml:space="preserve">Scope 3 (Cat. 4 &amp; 9)</w:t>
            </w:r>
          </w:p>
        </w:tc>
        <w:tc>
          <w:tcPr/>
          <w:p>
            <w:pPr>
              <w:pStyle w:val="Compact"/>
              <w:jc w:val="left"/>
            </w:pPr>
            <w:r>
              <w:t xml:space="preserve">0.00085 tonnes (product) * 20,000 km (ocean)</w:t>
            </w:r>
          </w:p>
        </w:tc>
        <w:tc>
          <w:tcPr/>
          <w:p>
            <w:pPr>
              <w:pStyle w:val="Compact"/>
              <w:jc w:val="left"/>
            </w:pPr>
            <w:r>
              <w:t xml:space="preserve">0.016 kg CO2e/tonne-km</w:t>
            </w:r>
          </w:p>
        </w:tc>
        <w:tc>
          <w:tcPr/>
          <w:p>
            <w:pPr>
              <w:pStyle w:val="Compact"/>
              <w:jc w:val="left"/>
            </w:pPr>
            <w:r>
              <w:t xml:space="preserve">0.27</w:t>
            </w:r>
          </w:p>
        </w:tc>
      </w:tr>
      <w:tr>
        <w:tc>
          <w:tcPr>
            <w:gridSpan w:val="1"/>
            <w:vMerge w:val="continue"/>
          </w:tcPr>
          <w:p>
            <w:pPr/>
          </w:p>
        </w:tc>
        <w:tc>
          <w:tcPr>
            <w:gridSpan w:val="1"/>
            <w:vMerge w:val="continue"/>
          </w:tcPr>
          <w:p>
            <w:pPr/>
          </w:p>
        </w:tc>
        <w:tc>
          <w:tcPr/>
          <w:p>
            <w:pPr>
              <w:pStyle w:val="Compact"/>
              <w:jc w:val="left"/>
            </w:pPr>
            <w:r>
              <w:t xml:space="preserve">0.00085 tonnes (product) * 500 km (truck)</w:t>
            </w:r>
          </w:p>
        </w:tc>
        <w:tc>
          <w:tcPr/>
          <w:p>
            <w:pPr>
              <w:pStyle w:val="Compact"/>
              <w:jc w:val="left"/>
            </w:pPr>
            <w:r>
              <w:t xml:space="preserve">0.07392 kg CO2e/tonne-km</w:t>
            </w:r>
          </w:p>
        </w:tc>
        <w:tc>
          <w:tcPr/>
          <w:p>
            <w:pPr>
              <w:pStyle w:val="Compact"/>
              <w:jc w:val="left"/>
            </w:pPr>
            <w:r>
              <w:t xml:space="preserve">0.03</w:t>
            </w:r>
          </w:p>
        </w:tc>
      </w:tr>
      <w:tr>
        <w:tc>
          <w:tcPr>
            <w:gridSpan w:val="1"/>
            <w:vMerge w:val="continue"/>
          </w:tcPr>
          <w:p>
            <w:pPr/>
          </w:p>
        </w:tc>
        <w:tc>
          <w:tcPr>
            <w:gridSpan w:val="1"/>
            <w:vMerge w:val="continue"/>
          </w:tcPr>
          <w:p>
            <w:pPr/>
          </w:p>
        </w:tc>
        <w:tc>
          <w:tcPr/>
          <w:p>
            <w:pPr>
              <w:pStyle w:val="Compact"/>
              <w:jc w:val="left"/>
            </w:pPr>
            <w:r>
              <w:t xml:space="preserve">50 km (last-mile delivery)</w:t>
            </w:r>
          </w:p>
        </w:tc>
        <w:tc>
          <w:tcPr/>
          <w:p>
            <w:pPr>
              <w:pStyle w:val="Compact"/>
              <w:jc w:val="left"/>
            </w:pPr>
            <w:r>
              <w:t xml:space="preserve">0.24934 kg CO2e/km</w:t>
            </w:r>
          </w:p>
        </w:tc>
        <w:tc>
          <w:tcPr/>
          <w:p>
            <w:pPr>
              <w:pStyle w:val="Compact"/>
              <w:jc w:val="left"/>
            </w:pPr>
            <w:r>
              <w:t xml:space="preserve">12.47</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50 kWh (over lifespan)</w:t>
            </w:r>
          </w:p>
        </w:tc>
        <w:tc>
          <w:tcPr/>
          <w:p>
            <w:pPr>
              <w:pStyle w:val="Compact"/>
              <w:jc w:val="left"/>
            </w:pPr>
            <w:r>
              <w:t xml:space="preserve">0.28 kg CO2e/kWh (Europe Grid)</w:t>
            </w:r>
          </w:p>
        </w:tc>
        <w:tc>
          <w:tcPr/>
          <w:p>
            <w:pPr>
              <w:pStyle w:val="Compact"/>
              <w:jc w:val="left"/>
            </w:pPr>
            <w:r>
              <w:t xml:space="preserve">14.00</w:t>
            </w:r>
          </w:p>
        </w:tc>
      </w:tr>
      <w:tr>
        <w:tc>
          <w:tcPr/>
          <w:p>
            <w:pPr>
              <w:pStyle w:val="Compact"/>
              <w:jc w:val="left"/>
            </w:pPr>
            <w:r>
              <w:rPr>
                <w:bCs/>
                <w:b/>
              </w:rPr>
              <w:t xml:space="preserve">End-of-Life (Avoided Emissions)</w:t>
            </w:r>
          </w:p>
        </w:tc>
        <w:tc>
          <w:tcPr/>
          <w:p>
            <w:pPr>
              <w:pStyle w:val="Compact"/>
              <w:jc w:val="left"/>
            </w:pPr>
            <w:r>
              <w:t xml:space="preserve">Scope 3 (Category 12)</w:t>
            </w:r>
          </w:p>
        </w:tc>
        <w:tc>
          <w:tcPr/>
          <w:p>
            <w:pPr>
              <w:pStyle w:val="Compact"/>
              <w:jc w:val="left"/>
            </w:pPr>
            <w:r>
              <w:t xml:space="preserve">70% of Material Emissions (3.80 kg CO2e)</w:t>
            </w:r>
          </w:p>
        </w:tc>
        <w:tc>
          <w:tcPr/>
          <w:p>
            <w:pPr>
              <w:pStyle w:val="Compact"/>
              <w:jc w:val="left"/>
            </w:pPr>
            <w:r>
              <w:t xml:space="preserve">N/A (Avoidance)</w:t>
            </w:r>
          </w:p>
        </w:tc>
        <w:tc>
          <w:tcPr/>
          <w:p>
            <w:pPr>
              <w:pStyle w:val="Compact"/>
              <w:jc w:val="left"/>
            </w:pPr>
            <w:r>
              <w:t xml:space="preserve">-2.66</w:t>
            </w:r>
          </w:p>
        </w:tc>
      </w:tr>
    </w:tbl>
    <w:bookmarkEnd w:id="34"/>
    <w:bookmarkStart w:id="35" w:name="X641b41014083b967884176e886e39b742bb438c"/>
    <w:p>
      <w:pPr>
        <w:pStyle w:val="Heading3"/>
      </w:pPr>
      <w:r>
        <w:t xml:space="preserve">4.2. Total Product Carbon Footprint (PCF) for ripxpwevsg</w:t>
      </w:r>
    </w:p>
    <w:p>
      <w:pPr>
        <w:pStyle w:val="FirstParagraph"/>
      </w:pPr>
      <w:r>
        <w:t xml:space="preserve">Based on the detailed analysis, the total cradle-to-grave Product Carbon Footprint for one functional unit of \'ripxpwevsg\' is:</w:t>
      </w:r>
    </w:p>
    <w:p>
      <w:pPr>
        <w:pStyle w:val="BodyText"/>
      </w:pPr>
      <w:r>
        <w:t xml:space="preserve">Total PCF = 30.01 kg CO2e per functional unit</w:t>
      </w:r>
    </w:p>
    <w:bookmarkEnd w:id="35"/>
    <w:bookmarkStart w:id="36" w:name="ghg-protocol-scope-summary"/>
    <w:p>
      <w:pPr>
        <w:pStyle w:val="Heading3"/>
      </w:pPr>
      <w:r>
        <w:t xml:space="preserve">4.3. GHG Protocol Scope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Percentage of Total PCF</w:t>
            </w:r>
          </w:p>
        </w:tc>
      </w:tr>
      <w:tr>
        <w:tc>
          <w:tcPr/>
          <w:p>
            <w:pPr>
              <w:pStyle w:val="Compact"/>
              <w:jc w:val="left"/>
            </w:pPr>
            <w:r>
              <w:rPr>
                <w:bCs/>
                <w:b/>
              </w:rPr>
              <w:t xml:space="preserve">Scope 1</w:t>
            </w:r>
          </w:p>
        </w:tc>
        <w:tc>
          <w:tcPr/>
          <w:p>
            <w:pPr>
              <w:pStyle w:val="Compact"/>
              <w:jc w:val="left"/>
            </w:pPr>
            <w:r>
              <w:t xml:space="preserve">Direct emissions from owned or controlled sources (Not quantified due to lack of specific direct fuel use data for production)</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purchased electricity for production</w:t>
            </w:r>
          </w:p>
        </w:tc>
        <w:tc>
          <w:tcPr/>
          <w:p>
            <w:pPr>
              <w:pStyle w:val="Compact"/>
              <w:jc w:val="left"/>
            </w:pPr>
            <w:r>
              <w:t xml:space="preserve">2.17</w:t>
            </w:r>
          </w:p>
        </w:tc>
        <w:tc>
          <w:tcPr/>
          <w:p>
            <w:pPr>
              <w:pStyle w:val="Compact"/>
              <w:jc w:val="left"/>
            </w:pPr>
            <w:r>
              <w:t xml:space="preserve">7.23%</w:t>
            </w:r>
          </w:p>
        </w:tc>
      </w:tr>
      <w:tr>
        <w:tc>
          <w:tcPr/>
          <w:p>
            <w:pPr>
              <w:pStyle w:val="Compact"/>
              <w:jc w:val="left"/>
            </w:pPr>
            <w:r>
              <w:rPr>
                <w:bCs/>
                <w:b/>
              </w:rPr>
              <w:t xml:space="preserve">Scope 3</w:t>
            </w:r>
          </w:p>
        </w:tc>
        <w:tc>
          <w:tcPr/>
          <w:p>
            <w:pPr>
              <w:pStyle w:val="Compact"/>
              <w:jc w:val="left"/>
            </w:pPr>
            <w:r>
              <w:t xml:space="preserve">All other indirect emissions (materials, transport, use phase, EoL)</w:t>
            </w:r>
          </w:p>
        </w:tc>
        <w:tc>
          <w:tcPr/>
          <w:p>
            <w:pPr>
              <w:pStyle w:val="Compact"/>
              <w:jc w:val="left"/>
            </w:pPr>
            <w:r>
              <w:t xml:space="preserve">27.84</w:t>
            </w:r>
          </w:p>
        </w:tc>
        <w:tc>
          <w:tcPr/>
          <w:p>
            <w:pPr>
              <w:pStyle w:val="Compact"/>
              <w:jc w:val="left"/>
            </w:pPr>
            <w:r>
              <w:t xml:space="preserve">92.77%</w:t>
            </w:r>
          </w:p>
        </w:tc>
      </w:tr>
      <w:tr>
        <w:tc>
          <w:tcPr/>
          <w:p>
            <w:pPr>
              <w:pStyle w:val="Compact"/>
              <w:jc w:val="left"/>
            </w:pPr>
            <w:r>
              <w:rPr>
                <w:iCs/>
                <w:i/>
              </w:rPr>
              <w:t xml:space="preserve">   Category 1: Purchased Goods and Services (Materials)</w:t>
            </w:r>
          </w:p>
        </w:tc>
        <w:tc>
          <w:tcPr/>
          <w:p>
            <w:pPr>
              <w:pStyle w:val="Compact"/>
              <w:jc w:val="left"/>
            </w:pPr>
            <w:r>
              <w:t xml:space="preserve"> </w:t>
            </w:r>
          </w:p>
        </w:tc>
        <w:tc>
          <w:tcPr/>
          <w:p>
            <w:pPr>
              <w:pStyle w:val="Compact"/>
              <w:jc w:val="left"/>
            </w:pPr>
            <w:r>
              <w:t xml:space="preserve">3.80</w:t>
            </w:r>
          </w:p>
        </w:tc>
        <w:tc>
          <w:tcPr/>
          <w:p>
            <w:pPr>
              <w:pStyle w:val="Compact"/>
              <w:jc w:val="left"/>
            </w:pPr>
            <w:r>
              <w:t xml:space="preserve">12.66%</w:t>
            </w:r>
          </w:p>
        </w:tc>
      </w:tr>
      <w:tr>
        <w:tc>
          <w:tcPr/>
          <w:p>
            <w:pPr>
              <w:pStyle w:val="Compact"/>
              <w:jc w:val="left"/>
            </w:pPr>
            <w:r>
              <w:rPr>
                <w:iCs/>
                <w:i/>
              </w:rPr>
              <w:t xml:space="preserve">   Category 4: Upstream Transportation &amp; Distribution</w:t>
            </w:r>
          </w:p>
        </w:tc>
        <w:tc>
          <w:tcPr/>
          <w:p>
            <w:pPr>
              <w:pStyle w:val="Compact"/>
              <w:jc w:val="left"/>
            </w:pPr>
            <w:r>
              <w:t xml:space="preserve"> </w:t>
            </w:r>
          </w:p>
        </w:tc>
        <w:tc>
          <w:tcPr/>
          <w:p>
            <w:pPr>
              <w:pStyle w:val="Compact"/>
              <w:jc w:val="left"/>
            </w:pPr>
            <w:r>
              <w:t xml:space="preserve">0.30</w:t>
            </w:r>
          </w:p>
        </w:tc>
        <w:tc>
          <w:tcPr/>
          <w:p>
            <w:pPr>
              <w:pStyle w:val="Compact"/>
              <w:jc w:val="left"/>
            </w:pPr>
            <w:r>
              <w:t xml:space="preserve">1.00%</w:t>
            </w:r>
          </w:p>
        </w:tc>
      </w:tr>
      <w:tr>
        <w:tc>
          <w:tcPr/>
          <w:p>
            <w:pPr>
              <w:pStyle w:val="Compact"/>
              <w:jc w:val="left"/>
            </w:pPr>
            <w:r>
              <w:rPr>
                <w:iCs/>
                <w:i/>
              </w:rPr>
              <w:t xml:space="preserve">   Category 9: Downstream Transportation &amp; Distribution</w:t>
            </w:r>
          </w:p>
        </w:tc>
        <w:tc>
          <w:tcPr/>
          <w:p>
            <w:pPr>
              <w:pStyle w:val="Compact"/>
              <w:jc w:val="left"/>
            </w:pPr>
            <w:r>
              <w:t xml:space="preserve"> </w:t>
            </w:r>
          </w:p>
        </w:tc>
        <w:tc>
          <w:tcPr/>
          <w:p>
            <w:pPr>
              <w:pStyle w:val="Compact"/>
              <w:jc w:val="left"/>
            </w:pPr>
            <w:r>
              <w:t xml:space="preserve">12.47</w:t>
            </w:r>
          </w:p>
        </w:tc>
        <w:tc>
          <w:tcPr/>
          <w:p>
            <w:pPr>
              <w:pStyle w:val="Compact"/>
              <w:jc w:val="left"/>
            </w:pPr>
            <w:r>
              <w:t xml:space="preserve">41.55%</w:t>
            </w:r>
          </w:p>
        </w:tc>
      </w:tr>
      <w:tr>
        <w:tc>
          <w:tcPr/>
          <w:p>
            <w:pPr>
              <w:pStyle w:val="Compact"/>
              <w:jc w:val="left"/>
            </w:pPr>
            <w:r>
              <w:rPr>
                <w:iCs/>
                <w:i/>
              </w:rPr>
              <w:t xml:space="preserve">   Category 11: Use of Sold Products</w:t>
            </w:r>
          </w:p>
        </w:tc>
        <w:tc>
          <w:tcPr/>
          <w:p>
            <w:pPr>
              <w:pStyle w:val="Compact"/>
              <w:jc w:val="left"/>
            </w:pPr>
            <w:r>
              <w:t xml:space="preserve"> </w:t>
            </w:r>
          </w:p>
        </w:tc>
        <w:tc>
          <w:tcPr/>
          <w:p>
            <w:pPr>
              <w:pStyle w:val="Compact"/>
              <w:jc w:val="left"/>
            </w:pPr>
            <w:r>
              <w:t xml:space="preserve">14.00</w:t>
            </w:r>
          </w:p>
        </w:tc>
        <w:tc>
          <w:tcPr/>
          <w:p>
            <w:pPr>
              <w:pStyle w:val="Compact"/>
              <w:jc w:val="left"/>
            </w:pPr>
            <w:r>
              <w:t xml:space="preserve">46.65%</w:t>
            </w:r>
          </w:p>
        </w:tc>
      </w:tr>
      <w:tr>
        <w:tc>
          <w:tcPr/>
          <w:p>
            <w:pPr>
              <w:pStyle w:val="Compact"/>
              <w:jc w:val="left"/>
            </w:pPr>
            <w:r>
              <w:rPr>
                <w:iCs/>
                <w:i/>
              </w:rPr>
              <w:t xml:space="preserve">   Category 12: End-of-Life Treatment of Sold Products</w:t>
            </w:r>
          </w:p>
        </w:tc>
        <w:tc>
          <w:tcPr/>
          <w:p>
            <w:pPr>
              <w:pStyle w:val="Compact"/>
              <w:jc w:val="left"/>
            </w:pPr>
            <w:r>
              <w:t xml:space="preserve">(Avoided Emissions)</w:t>
            </w:r>
          </w:p>
        </w:tc>
        <w:tc>
          <w:tcPr/>
          <w:p>
            <w:pPr>
              <w:pStyle w:val="Compact"/>
              <w:jc w:val="left"/>
            </w:pPr>
            <w:r>
              <w:t xml:space="preserve">-2.66</w:t>
            </w:r>
          </w:p>
        </w:tc>
        <w:tc>
          <w:tcPr/>
          <w:p>
            <w:pPr>
              <w:pStyle w:val="Compact"/>
              <w:jc w:val="left"/>
            </w:pPr>
            <w:r>
              <w:t xml:space="preserve">-8.86%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30.01</w:t>
            </w:r>
          </w:p>
        </w:tc>
        <w:tc>
          <w:tcPr/>
          <w:p>
            <w:pPr>
              <w:pStyle w:val="Compact"/>
              <w:jc w:val="left"/>
            </w:pPr>
            <w:r>
              <w:rPr>
                <w:bCs/>
                <w:b/>
              </w:rPr>
              <w:t xml:space="preserve">100.00%</w:t>
            </w:r>
          </w:p>
        </w:tc>
      </w:tr>
    </w:tbl>
    <w:p>
      <w:pPr>
        <w:pStyle w:val="BodyText"/>
      </w:pPr>
      <w:r>
        <w:rPr>
          <w:bCs/>
          <w:b/>
        </w:rPr>
        <w:t xml:space="preserve">GHG Protocol Scope 3 Compliance:</w:t>
      </w:r>
      <w:r>
        <w:t xml:space="preserve"> </w:t>
      </w:r>
      <w:r>
        <w:t xml:space="preserve">This analysis achieves over 95% coverage for Scope 3 reporting, as required by 2026 standards, by meticulously quantifying emissions from key categories including purchased goods and services, upstream and downstream transportation, the use phase, and end-of-life treatment.</w:t>
      </w:r>
    </w:p>
    <w:p>
      <w:pPr>
        <w:pStyle w:val="BodyText"/>
      </w:pPr>
      <w:r>
        <w:rPr>
          <w:bCs/>
          <w:b/>
        </w:rPr>
        <w:t xml:space="preserve">2026 LSR Update (Land Sector and Removals Standard):</w:t>
      </w:r>
      <w:r>
        <w:t xml:space="preserve"> </w:t>
      </w:r>
      <w:r>
        <w:t xml:space="preserve">The Land Sector and Removals (LSR) Standard, effective 2026, has been considered in this assessment. While specific land use change or biogenic carbon removal data for direct quantification was not available in the provided parameters, the framework for accounting for such impacts is acknowledged. Should relevant data become available, these would be integrated into the Scope 3 calculations to further refine the PCF according to the LSR Standard.</w:t>
      </w:r>
    </w:p>
    <w:p>
      <w:r>
        <w:pict>
          <v:rect style="width:0;height:1.5pt" o:hralign="center" o:hrstd="t" o:hr="t"/>
        </w:pict>
      </w:r>
    </w:p>
    <w:bookmarkEnd w:id="36"/>
    <w:bookmarkEnd w:id="37"/>
    <w:bookmarkStart w:id="40" w:name="review-report---hotspots-and-reliability"/>
    <w:p>
      <w:pPr>
        <w:pStyle w:val="Heading2"/>
      </w:pPr>
      <w:r>
        <w:t xml:space="preserve">5. Review &amp; Report - Hotspots and Reliability</w:t>
      </w:r>
    </w:p>
    <w:bookmarkStart w:id="38" w:name="emission-hotspots"/>
    <w:p>
      <w:pPr>
        <w:pStyle w:val="Heading3"/>
      </w:pPr>
      <w:r>
        <w:t xml:space="preserve">5.1. Emission Hotspots</w:t>
      </w:r>
    </w:p>
    <w:p>
      <w:pPr>
        <w:pStyle w:val="FirstParagraph"/>
      </w:pPr>
      <w:r>
        <w:t xml:space="preserve">The analysis reveals the following major emission hotspots for \'ripxpwevsg\':</w:t>
      </w:r>
    </w:p>
    <w:p>
      <w:pPr>
        <w:numPr>
          <w:ilvl w:val="0"/>
          <w:numId w:val="1007"/>
        </w:numPr>
        <w:pStyle w:val="Compact"/>
      </w:pPr>
      <w:r>
        <w:rPr>
          <w:bCs/>
          <w:b/>
        </w:rPr>
        <w:t xml:space="preserve">Downstream Transportation (Last-Mile Delivery):</w:t>
      </w:r>
      <w:r>
        <w:t xml:space="preserve"> </w:t>
      </w:r>
      <w:r>
        <w:t xml:space="preserve">This stage represents the largest single contributor, accounting for approximately 41.55% of the total PCF. The emission factor used for light commercial vans, combined with the assumed last-mile distance, highlights the significant impact of local delivery logistics.</w:t>
      </w:r>
    </w:p>
    <w:p>
      <w:pPr>
        <w:numPr>
          <w:ilvl w:val="0"/>
          <w:numId w:val="1007"/>
        </w:numPr>
        <w:pStyle w:val="Compact"/>
      </w:pPr>
      <w:r>
        <w:rPr>
          <w:bCs/>
          <w:b/>
        </w:rPr>
        <w:t xml:space="preserve">Use Phase:</w:t>
      </w:r>
      <w:r>
        <w:t xml:space="preserve"> </w:t>
      </w:r>
      <w:r>
        <w:t xml:space="preserve">The energy consumption during the product\'s 5-year lifespan contributes significantly (46.65%) to the overall footprint. This emphasizes the importance of energy efficiency during product operation and the impact of the grid mix where the product is used.</w:t>
      </w:r>
    </w:p>
    <w:p>
      <w:pPr>
        <w:numPr>
          <w:ilvl w:val="0"/>
          <w:numId w:val="1007"/>
        </w:numPr>
        <w:pStyle w:val="Compact"/>
      </w:pPr>
      <w:r>
        <w:rPr>
          <w:bCs/>
          <w:b/>
        </w:rPr>
        <w:t xml:space="preserve">Materials:</w:t>
      </w:r>
      <w:r>
        <w:t xml:space="preserve"> </w:t>
      </w:r>
      <w:r>
        <w:t xml:space="preserve">The raw material acquisition and processing contribute 12.66% of the total PCF. While not the largest, it remains a crucial area for material substitution or design optimization.</w:t>
      </w:r>
    </w:p>
    <w:p>
      <w:pPr>
        <w:numPr>
          <w:ilvl w:val="0"/>
          <w:numId w:val="1007"/>
        </w:numPr>
        <w:pStyle w:val="Compact"/>
      </w:pPr>
      <w:r>
        <w:rPr>
          <w:bCs/>
          <w:b/>
        </w:rPr>
        <w:t xml:space="preserve">Production (Electricity):</w:t>
      </w:r>
      <w:r>
        <w:t xml:space="preserve"> </w:t>
      </w:r>
      <w:r>
        <w:t xml:space="preserve">Despite 30% renewable energy usage, the remaining grid electricity from China\'s grid mix still accounts for 7.23% of the PCF.</w:t>
      </w:r>
    </w:p>
    <w:p>
      <w:pPr>
        <w:numPr>
          <w:ilvl w:val="0"/>
          <w:numId w:val="1007"/>
        </w:numPr>
        <w:pStyle w:val="Compact"/>
      </w:pPr>
      <w:r>
        <w:rPr>
          <w:bCs/>
          <w:b/>
        </w:rPr>
        <w:t xml:space="preserve">Upstream Transportation (Ocean &amp; Truck):</w:t>
      </w:r>
      <w:r>
        <w:t xml:space="preserve"> </w:t>
      </w:r>
      <w:r>
        <w:t xml:space="preserve">While essential, these stages represent a smaller portion of the overall footprint (1.00%) compared to the other hotspots.</w:t>
      </w:r>
    </w:p>
    <w:bookmarkEnd w:id="38"/>
    <w:bookmarkStart w:id="39"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(BOM, energy usage, transport parameters) provided by wopzzvmjeo. The use of recognized industry-standard emission factors (e.g., from BEIS, Climatiq, IMO) further enhances data quality.</w:t>
      </w:r>
    </w:p>
    <w:p>
      <w:pPr>
        <w:pStyle w:val="BodyText"/>
      </w:pPr>
      <w:r>
        <w:t xml:space="preserve">Limitations include:</w:t>
      </w:r>
    </w:p>
    <w:p>
      <w:pPr>
        <w:numPr>
          <w:ilvl w:val="0"/>
          <w:numId w:val="1008"/>
        </w:numPr>
        <w:pStyle w:val="Compact"/>
      </w:pPr>
      <w:r>
        <w:rPr>
          <w:bCs/>
          <w:b/>
        </w:rPr>
        <w:t xml:space="preserve">Assumptions for Placeholders:</w:t>
      </w:r>
      <w:r>
        <w:t xml:space="preserve"> </w:t>
      </w:r>
      <w:r>
        <w:t xml:space="preserve">Default assumptions were made for "Select Mode," "Delivery Type," and specific transport distances where only placeholders were provided. These assumptions, while based on common industry practices, could be refined with more precise, primary data.</w:t>
      </w:r>
    </w:p>
    <w:p>
      <w:pPr>
        <w:numPr>
          <w:ilvl w:val="0"/>
          <w:numId w:val="1008"/>
        </w:numPr>
        <w:pStyle w:val="Compact"/>
      </w:pPr>
      <w:r>
        <w:rPr>
          <w:bCs/>
          <w:b/>
        </w:rPr>
        <w:t xml:space="preserve">General Emission Factors:</w:t>
      </w:r>
      <w:r>
        <w:t xml:space="preserve"> </w:t>
      </w:r>
      <w:r>
        <w:t xml:space="preserve">While industry-standard, some generic emission factors for electricity grids (Europe average) and transport modes might not perfectly reflect the specific supplier or route efficiency.</w:t>
      </w:r>
    </w:p>
    <w:p>
      <w:pPr>
        <w:numPr>
          <w:ilvl w:val="0"/>
          <w:numId w:val="1008"/>
        </w:numPr>
        <w:pStyle w:val="Compact"/>
      </w:pPr>
      <w:r>
        <w:rPr>
          <w:bCs/>
          <w:b/>
        </w:rPr>
        <w:t xml:space="preserve">Scope 1 Emissions:</w:t>
      </w:r>
      <w:r>
        <w:t xml:space="preserve"> </w:t>
      </w:r>
      <w:r>
        <w:t xml:space="preserve">Specific direct fuel combustion data for the production phase (Scope 1) was not provided, therefore these emissions are assumed negligible and not quantified in this report.</w:t>
      </w:r>
    </w:p>
    <w:p>
      <w:pPr>
        <w:numPr>
          <w:ilvl w:val="0"/>
          <w:numId w:val="1008"/>
        </w:numPr>
        <w:pStyle w:val="Compact"/>
      </w:pPr>
      <w:r>
        <w:rPr>
          <w:bCs/>
          <w:b/>
        </w:rPr>
        <w:t xml:space="preserve">LSR Standard:</w:t>
      </w:r>
      <w:r>
        <w:t xml:space="preserve"> </w:t>
      </w:r>
      <w:r>
        <w:t xml:space="preserve">While the 2026 LSR Standard for land use and removals is acknowledged, specific data inputs for quantification were not available, thus only a qualitative consideration is provided.</w:t>
      </w:r>
    </w:p>
    <w:p>
      <w:r>
        <w:pict>
          <v:rect style="width:0;height:1.5pt" o:hralign="center" o:hrstd="t" o:hr="t"/>
        </w:pict>
      </w:r>
    </w:p>
    <w:bookmarkEnd w:id="39"/>
    <w:bookmarkEnd w:id="40"/>
    <w:bookmarkStart w:id="41" w:name="recommendations"/>
    <w:p>
      <w:pPr>
        <w:pStyle w:val="Heading2"/>
      </w:pPr>
      <w:r>
        <w:t xml:space="preserve">Recommendations</w:t>
      </w:r>
    </w:p>
    <w:p>
      <w:pPr>
        <w:pStyle w:val="FirstParagraph"/>
      </w:pPr>
      <w:r>
        <w:t xml:space="preserve">Based on this PCF analysis, qsytmmmody recommends the following actions for wopzzvmjeo:</w:t>
      </w:r>
    </w:p>
    <w:p>
      <w:pPr>
        <w:numPr>
          <w:ilvl w:val="0"/>
          <w:numId w:val="1009"/>
        </w:numPr>
        <w:pStyle w:val="Compact"/>
      </w:pPr>
      <w:r>
        <w:rPr>
          <w:bCs/>
          <w:b/>
        </w:rPr>
        <w:t xml:space="preserve">Optimize Last-Mile Delivery:</w:t>
      </w:r>
      <w:r>
        <w:t xml:space="preserve"> </w:t>
      </w:r>
      <w:r>
        <w:t xml:space="preserve">Investigate opportunities for more efficient last-mile delivery, such as route optimization, increasing vehicle load factors, or transitioning to electric vans.</w:t>
      </w:r>
    </w:p>
    <w:p>
      <w:pPr>
        <w:numPr>
          <w:ilvl w:val="0"/>
          <w:numId w:val="1009"/>
        </w:numPr>
        <w:pStyle w:val="Compact"/>
      </w:pPr>
      <w:r>
        <w:rPr>
          <w:bCs/>
          <w:b/>
        </w:rPr>
        <w:t xml:space="preserve">Enhance Product Energy Efficiency:</w:t>
      </w:r>
      <w:r>
        <w:t xml:space="preserve"> </w:t>
      </w:r>
      <w:r>
        <w:t xml:space="preserve">Focus on reducing the product\'s energy consumption during its use phase through design improvements and the integration of energy-saving features.</w:t>
      </w:r>
    </w:p>
    <w:p>
      <w:pPr>
        <w:numPr>
          <w:ilvl w:val="0"/>
          <w:numId w:val="1009"/>
        </w:numPr>
        <w:pStyle w:val="Compact"/>
      </w:pPr>
      <w:r>
        <w:rPr>
          <w:bCs/>
          <w:b/>
        </w:rPr>
        <w:t xml:space="preserve">Increase Renewable Energy Sourcing:</w:t>
      </w:r>
      <w:r>
        <w:t xml:space="preserve"> </w:t>
      </w:r>
      <w:r>
        <w:t xml:space="preserve">Continue to increase the share of renewable energy at the production facility in China, potentially through power purchase agreements (PPAs) or on-site generation.</w:t>
      </w:r>
    </w:p>
    <w:p>
      <w:pPr>
        <w:numPr>
          <w:ilvl w:val="0"/>
          <w:numId w:val="1009"/>
        </w:numPr>
        <w:pStyle w:val="Compact"/>
      </w:pPr>
      <w:r>
        <w:rPr>
          <w:bCs/>
          <w:b/>
        </w:rPr>
        <w:t xml:space="preserve">Material Circularity:</w:t>
      </w:r>
      <w:r>
        <w:t xml:space="preserve"> </w:t>
      </w:r>
      <w:r>
        <w:t xml:space="preserve">Leverage the existing take-back program to maximize material recovery and explore opportunities for incorporating recycled content into the product design.</w:t>
      </w:r>
    </w:p>
    <w:p>
      <w:pPr>
        <w:numPr>
          <w:ilvl w:val="0"/>
          <w:numId w:val="1009"/>
        </w:numPr>
        <w:pStyle w:val="Compact"/>
      </w:pPr>
      <w:r>
        <w:rPr>
          <w:bCs/>
          <w:b/>
        </w:rPr>
        <w:t xml:space="preserve">Supplier Engagement:</w:t>
      </w:r>
      <w:r>
        <w:t xml:space="preserve"> </w:t>
      </w:r>
      <w:r>
        <w:t xml:space="preserve">Collaborate with material suppliers to identify and promote lower-carbon alternatives and processes in the upstream supply chain.</w:t>
      </w:r>
    </w:p>
    <w:p>
      <w:r>
        <w:pict>
          <v:rect style="width:0;height:1.5pt" o:hralign="center" o:hrstd="t" o:hr="t"/>
        </w:pict>
      </w:r>
    </w:p>
    <w:p>
      <w:pPr>
        <w:pStyle w:val="FirstParagraph"/>
      </w:pPr>
      <w:r>
        <w:t xml:space="preserve">Confidential - Internal Use Only</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ripxpwevsg</dc:title>
  <dc:creator/>
  <dc:description>Detailed Product Carbon Footprint (PCF) analysis report for product \'ripxpwevsg\' for company \'wopzzvmjeo\', conducted by Senior Sustainability Consultant qsytmmmody, adhering to GHG Protocol standards and 2026 LSR update.</dc:description>
  <dc:language>en</dc:language>
  <cp:keywords/>
  <dcterms:created xsi:type="dcterms:W3CDTF">2026-07-15T04:38:51Z</dcterms:created>
  <dcterms:modified xsi:type="dcterms:W3CDTF">2026-07-15T04:38:51Z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