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Reading</w:t>
      </w:r>
      <w:r>
        <w:t xml:space="preserve"> </w:t>
      </w:r>
      <w:r>
        <w:t xml:space="preserve">Glasses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Reading Glasses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Disclaimer: This report is generated based on available industry average data, estimation models, and established sustainability standards. While all efforts have been made to ensure accuracy, specific primary data from the manufacturer may lead to variations in actual footprint values. This analysis serves as a high-level assessment.</w:t>
      </w:r>
    </w:p>
    <w:bookmarkEnd w:id="20"/>
    <w:bookmarkStart w:id="21" w:name="Xedbf805c3a6979362c310e321f09a61d07da555"/>
    <w:p>
      <w:pPr>
        <w:pStyle w:val="Heading1"/>
      </w:pPr>
      <w:r>
        <w:t xml:space="preserve">Product Carbon Footprint (PCF) Analysis: Reading Glasses</w:t>
      </w:r>
    </w:p>
    <w:p>
      <w:pPr>
        <w:pStyle w:val="FirstParagraph"/>
      </w:pPr>
      <w:r>
        <w:t xml:space="preserve">Generated Date: June 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a single unit of reading glasses, conducted by remko weingarten, Senior Sustainability Consultant specializing in GHG Protocol. The analysis adheres strictly to the GHG Protocol\'s Product Standard, incorporating the 2026 Land Sector and Removals (LSR) update and ensuring robust Scope 3 compliance. The system boundary is defined as \'factory_gate\', focusing on a European supply chain with final production in the Netherlands. The primary objective is to quantify the greenhouse gas (GHG) emissions associated with the production of reading glasses, identify key emission hotspots, and provide insights for decarbonization efforts.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reading glasses</w:t>
      </w:r>
      <w:r>
        <w:t xml:space="preserve">. This unit provides the desired function of vision correction for reading, serving as the basis for all emission calculations and comparisons.</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This includes all upstream activities from raw material extraction and processing, through component manufacturing, transportation of materials to the final production facility, and the manufacturing processes within the factory up to the point where the finished reading glasses leave the factory gate.</w:t>
      </w:r>
      <w:r>
        <w:t xml:space="preserve"> </w:t>
      </w:r>
      <w:r>
        <w:t xml:space="preserve">The following life cycle stages are included:</w:t>
      </w:r>
    </w:p>
    <w:p>
      <w:pPr>
        <w:numPr>
          <w:ilvl w:val="0"/>
          <w:numId w:val="1001"/>
        </w:numPr>
        <w:pStyle w:val="Compact"/>
      </w:pPr>
      <w:r>
        <w:t xml:space="preserve">Raw Material Acquisition &amp; Pre-processing (Cradle)</w:t>
      </w:r>
    </w:p>
    <w:p>
      <w:pPr>
        <w:numPr>
          <w:ilvl w:val="0"/>
          <w:numId w:val="1001"/>
        </w:numPr>
        <w:pStyle w:val="Compact"/>
      </w:pPr>
      <w:r>
        <w:t xml:space="preserve">Component Manufacturing</w:t>
      </w:r>
    </w:p>
    <w:p>
      <w:pPr>
        <w:numPr>
          <w:ilvl w:val="0"/>
          <w:numId w:val="1001"/>
        </w:numPr>
        <w:pStyle w:val="Compact"/>
      </w:pPr>
      <w:r>
        <w:t xml:space="preserve">Inbound Transportation to Final Production Facility</w:t>
      </w:r>
    </w:p>
    <w:p>
      <w:pPr>
        <w:numPr>
          <w:ilvl w:val="0"/>
          <w:numId w:val="1001"/>
        </w:numPr>
        <w:pStyle w:val="Compact"/>
      </w:pPr>
      <w:r>
        <w:t xml:space="preserve">Final Assembly and Packaging at Production Facility</w:t>
      </w:r>
    </w:p>
    <w:p>
      <w:pPr>
        <w:pStyle w:val="FirstParagraph"/>
      </w:pPr>
      <w:r>
        <w:t xml:space="preserve">The following life cycle stages are explicitly excluded from this \'factory_gate\' assessment:</w:t>
      </w:r>
    </w:p>
    <w:p>
      <w:pPr>
        <w:numPr>
          <w:ilvl w:val="0"/>
          <w:numId w:val="1002"/>
        </w:numPr>
        <w:pStyle w:val="Compact"/>
      </w:pPr>
      <w:r>
        <w:t xml:space="preserve">Distribution to customer (beyond factory gate)</w:t>
      </w:r>
    </w:p>
    <w:p>
      <w:pPr>
        <w:numPr>
          <w:ilvl w:val="0"/>
          <w:numId w:val="1002"/>
        </w:numPr>
        <w:pStyle w:val="Compact"/>
      </w:pPr>
      <w:r>
        <w:t xml:space="preserve">Retail activities</w:t>
      </w:r>
    </w:p>
    <w:p>
      <w:pPr>
        <w:numPr>
          <w:ilvl w:val="0"/>
          <w:numId w:val="1002"/>
        </w:numPr>
        <w:pStyle w:val="Compact"/>
      </w:pPr>
      <w:r>
        <w:t xml:space="preserve">Use phase by the consumer</w:t>
      </w:r>
    </w:p>
    <w:p>
      <w:pPr>
        <w:numPr>
          <w:ilvl w:val="0"/>
          <w:numId w:val="1002"/>
        </w:numPr>
        <w:pStyle w:val="Compact"/>
      </w:pPr>
      <w:r>
        <w:t xml:space="preserve">End-of-life treatment (disposal, recycling)</w:t>
      </w:r>
    </w:p>
    <w:bookmarkEnd w:id="24"/>
    <w:bookmarkStart w:id="25" w:name="geographic-scope"/>
    <w:p>
      <w:pPr>
        <w:pStyle w:val="Heading3"/>
      </w:pPr>
      <w:r>
        <w:t xml:space="preserve">1.3 Geographic Scope</w:t>
      </w:r>
    </w:p>
    <w:p>
      <w:pPr>
        <w:pStyle w:val="FirstParagraph"/>
      </w:pPr>
      <w:r>
        <w:t xml:space="preserve">The analysis assumes a</w:t>
      </w:r>
      <w:r>
        <w:t xml:space="preserve"> </w:t>
      </w:r>
      <w:r>
        <w:rPr>
          <w:bCs/>
          <w:b/>
        </w:rPr>
        <w:t xml:space="preserve">final production country of the Netherlands</w:t>
      </w:r>
      <w:r>
        <w:t xml:space="preserve">, with a strong</w:t>
      </w:r>
      <w:r>
        <w:t xml:space="preserve"> </w:t>
      </w:r>
      <w:r>
        <w:rPr>
          <w:bCs/>
          <w:b/>
        </w:rPr>
        <w:t xml:space="preserve">supply chain focus on Europe</w:t>
      </w:r>
      <w:r>
        <w:t xml:space="preserve">. This implies that energy grids and transportation distances and modes will be modeled predominantly within a European context, using relevant regional emission factors.</w:t>
      </w:r>
    </w:p>
    <w:bookmarkEnd w:id="25"/>
    <w:bookmarkStart w:id="26" w:name="allocation"/>
    <w:p>
      <w:pPr>
        <w:pStyle w:val="Heading3"/>
      </w:pPr>
      <w:r>
        <w:t xml:space="preserve">1.4 Allocation</w:t>
      </w:r>
    </w:p>
    <w:p>
      <w:pPr>
        <w:pStyle w:val="FirstParagraph"/>
      </w:pPr>
      <w:r>
        <w:t xml:space="preserve">Allocation of environmental burdens for co-products or multi-output processes is based on mass or economic allocation where necessary, following GHG Protocol guidance. For this product, reading glasses are considered the primary product. Any minor co-products or waste streams are handled in accordance with industry best practices, generally avoiding system expansion beyond the factory gate.</w:t>
      </w:r>
    </w:p>
    <w:p>
      <w:r>
        <w:pict>
          <v:rect style="width:0;height:1.5pt" o:hralign="center" o:hrstd="t" o:hr="t"/>
        </w:pict>
      </w:r>
    </w:p>
    <w:bookmarkEnd w:id="26"/>
    <w:bookmarkEnd w:id="27"/>
    <w:bookmarkStart w:id="34" w:name="map-lifecycle-lci-inventory-stages"/>
    <w:p>
      <w:pPr>
        <w:pStyle w:val="Heading2"/>
      </w:pPr>
      <w:r>
        <w:t xml:space="preserve">2. Map Lifecycle (LCI Inventory Stages)</w:t>
      </w:r>
    </w:p>
    <w:p>
      <w:pPr>
        <w:pStyle w:val="FirstParagraph"/>
      </w:pPr>
      <w:r>
        <w:t xml:space="preserve">The lifecycle of reading glasses from a \'factory_gate\' perspective involves several key stages, each contributing to the overall carbon footprint. A detailed breakdown of the expected materials and energy inputs is provided below, forming the basis for the Life Cycle Inventory (LCI).</w:t>
      </w:r>
    </w:p>
    <w:bookmarkStart w:id="32" w:name="material-inputs"/>
    <w:p>
      <w:pPr>
        <w:pStyle w:val="Heading3"/>
      </w:pPr>
      <w:r>
        <w:t xml:space="preserve">2.1 Material Inputs</w:t>
      </w:r>
    </w:p>
    <w:p>
      <w:pPr>
        <w:pStyle w:val="FirstParagraph"/>
      </w:pPr>
      <w:r>
        <w:t xml:space="preserve">Reading glasses typically consist of a frame, lenses, and minor components like hinges and screws. Packaging is also included as it leaves the factory gate with the product.</w:t>
      </w:r>
    </w:p>
    <w:bookmarkStart w:id="28" w:name="frame-example-polycarbonate-tr90-blend"/>
    <w:p>
      <w:pPr>
        <w:pStyle w:val="Heading4"/>
      </w:pPr>
      <w:r>
        <w:t xml:space="preserve">Frame (Example: Polycarbonate / TR90 blend)</w:t>
      </w:r>
    </w:p>
    <w:p>
      <w:pPr>
        <w:numPr>
          <w:ilvl w:val="0"/>
          <w:numId w:val="1003"/>
        </w:numPr>
        <w:pStyle w:val="Compact"/>
      </w:pPr>
      <w:r>
        <w:rPr>
          <w:bCs/>
          <w:b/>
        </w:rPr>
        <w:t xml:space="preserve">Material Type:</w:t>
      </w:r>
      <w:r>
        <w:t xml:space="preserve"> </w:t>
      </w:r>
      <w:r>
        <w:t xml:space="preserve">Thermoplastic Polymer (e.g., Polycarbonate, TR90 - a polyamide/nylon material)</w:t>
      </w:r>
    </w:p>
    <w:p>
      <w:pPr>
        <w:numPr>
          <w:ilvl w:val="0"/>
          <w:numId w:val="1003"/>
        </w:numPr>
        <w:pStyle w:val="Compact"/>
      </w:pPr>
      <w:r>
        <w:rPr>
          <w:bCs/>
          <w:b/>
        </w:rPr>
        <w:t xml:space="preserve">Typical Weight per frame:</w:t>
      </w:r>
      <w:r>
        <w:t xml:space="preserve"> </w:t>
      </w:r>
      <w:r>
        <w:t xml:space="preserve">15-25g</w:t>
      </w:r>
    </w:p>
    <w:p>
      <w:pPr>
        <w:numPr>
          <w:ilvl w:val="0"/>
          <w:numId w:val="1003"/>
        </w:numPr>
        <w:pStyle w:val="Compact"/>
      </w:pPr>
      <w:r>
        <w:rPr>
          <w:bCs/>
          <w:b/>
        </w:rPr>
        <w:t xml:space="preserve">Key Production Processes:</w:t>
      </w:r>
      <w:r>
        <w:t xml:space="preserve"> </w:t>
      </w:r>
      <w:r>
        <w:t xml:space="preserve">Polymerization, compounding, injection molding.</w:t>
      </w:r>
    </w:p>
    <w:p>
      <w:pPr>
        <w:numPr>
          <w:ilvl w:val="0"/>
          <w:numId w:val="1003"/>
        </w:numPr>
        <w:pStyle w:val="Compact"/>
      </w:pPr>
      <w:r>
        <w:rPr>
          <w:bCs/>
          <w:b/>
        </w:rPr>
        <w:t xml:space="preserve">Associated Emissions:</w:t>
      </w:r>
      <w:r>
        <w:t xml:space="preserve"> </w:t>
      </w:r>
      <w:r>
        <w:t xml:space="preserve">High energy demand for polymer production, chemical inputs.</w:t>
      </w:r>
    </w:p>
    <w:bookmarkEnd w:id="28"/>
    <w:bookmarkStart w:id="29" w:name="lenses-example-polycarbonate"/>
    <w:p>
      <w:pPr>
        <w:pStyle w:val="Heading4"/>
      </w:pPr>
      <w:r>
        <w:t xml:space="preserve">Lenses (Example: Polycarbonate)</w:t>
      </w:r>
    </w:p>
    <w:p>
      <w:pPr>
        <w:numPr>
          <w:ilvl w:val="0"/>
          <w:numId w:val="1004"/>
        </w:numPr>
        <w:pStyle w:val="Compact"/>
      </w:pPr>
      <w:r>
        <w:rPr>
          <w:bCs/>
          <w:b/>
        </w:rPr>
        <w:t xml:space="preserve">Material Type:</w:t>
      </w:r>
      <w:r>
        <w:t xml:space="preserve"> </w:t>
      </w:r>
      <w:r>
        <w:t xml:space="preserve">Thermoplastic Polymer (e.g., Polycarbonate, CR-39)</w:t>
      </w:r>
    </w:p>
    <w:p>
      <w:pPr>
        <w:numPr>
          <w:ilvl w:val="0"/>
          <w:numId w:val="1004"/>
        </w:numPr>
        <w:pStyle w:val="Compact"/>
      </w:pPr>
      <w:r>
        <w:rPr>
          <w:bCs/>
          <w:b/>
        </w:rPr>
        <w:t xml:space="preserve">Typical Weight per pair of lenses:</w:t>
      </w:r>
      <w:r>
        <w:t xml:space="preserve"> </w:t>
      </w:r>
      <w:r>
        <w:t xml:space="preserve">10-20g</w:t>
      </w:r>
    </w:p>
    <w:p>
      <w:pPr>
        <w:numPr>
          <w:ilvl w:val="0"/>
          <w:numId w:val="1004"/>
        </w:numPr>
        <w:pStyle w:val="Compact"/>
      </w:pPr>
      <w:r>
        <w:rPr>
          <w:bCs/>
          <w:b/>
        </w:rPr>
        <w:t xml:space="preserve">Key Production Processes:</w:t>
      </w:r>
      <w:r>
        <w:t xml:space="preserve"> </w:t>
      </w:r>
      <w:r>
        <w:t xml:space="preserve">Polymerization, casting/injection molding, surface coating (anti-scratch, anti-reflective).</w:t>
      </w:r>
    </w:p>
    <w:p>
      <w:pPr>
        <w:numPr>
          <w:ilvl w:val="0"/>
          <w:numId w:val="1004"/>
        </w:numPr>
        <w:pStyle w:val="Compact"/>
      </w:pPr>
      <w:r>
        <w:rPr>
          <w:bCs/>
          <w:b/>
        </w:rPr>
        <w:t xml:space="preserve">Associated Emissions:</w:t>
      </w:r>
      <w:r>
        <w:t xml:space="preserve"> </w:t>
      </w:r>
      <w:r>
        <w:t xml:space="preserve">Similar to frame materials, energy-intensive molding, specific coating chemistry.</w:t>
      </w:r>
    </w:p>
    <w:bookmarkEnd w:id="29"/>
    <w:bookmarkStart w:id="30" w:name="hinges-screws-example-stainless-steel"/>
    <w:p>
      <w:pPr>
        <w:pStyle w:val="Heading4"/>
      </w:pPr>
      <w:r>
        <w:t xml:space="preserve">Hinges &amp; Screws (Example: Stainless Steel)</w:t>
      </w:r>
    </w:p>
    <w:p>
      <w:pPr>
        <w:numPr>
          <w:ilvl w:val="0"/>
          <w:numId w:val="1005"/>
        </w:numPr>
        <w:pStyle w:val="Compact"/>
      </w:pPr>
      <w:r>
        <w:rPr>
          <w:bCs/>
          <w:b/>
        </w:rPr>
        <w:t xml:space="preserve">Material Type:</w:t>
      </w:r>
      <w:r>
        <w:t xml:space="preserve"> </w:t>
      </w:r>
      <w:r>
        <w:t xml:space="preserve">Metal alloy (e.g., Stainless Steel)</w:t>
      </w:r>
    </w:p>
    <w:p>
      <w:pPr>
        <w:numPr>
          <w:ilvl w:val="0"/>
          <w:numId w:val="1005"/>
        </w:numPr>
        <w:pStyle w:val="Compact"/>
      </w:pPr>
      <w:r>
        <w:rPr>
          <w:bCs/>
          <w:b/>
        </w:rPr>
        <w:t xml:space="preserve">Typical Weight per unit:</w:t>
      </w:r>
      <w:r>
        <w:t xml:space="preserve"> </w:t>
      </w:r>
      <w:r>
        <w:t xml:space="preserve">1-3g (for both hinges and screws)</w:t>
      </w:r>
    </w:p>
    <w:p>
      <w:pPr>
        <w:numPr>
          <w:ilvl w:val="0"/>
          <w:numId w:val="1005"/>
        </w:numPr>
        <w:pStyle w:val="Compact"/>
      </w:pPr>
      <w:r>
        <w:rPr>
          <w:bCs/>
          <w:b/>
        </w:rPr>
        <w:t xml:space="preserve">Key Production Processes:</w:t>
      </w:r>
      <w:r>
        <w:t xml:space="preserve"> </w:t>
      </w:r>
      <w:r>
        <w:t xml:space="preserve">Mining, smelting, alloy production, forming, machining.</w:t>
      </w:r>
    </w:p>
    <w:p>
      <w:pPr>
        <w:numPr>
          <w:ilvl w:val="0"/>
          <w:numId w:val="1005"/>
        </w:numPr>
        <w:pStyle w:val="Compact"/>
      </w:pPr>
      <w:r>
        <w:rPr>
          <w:bCs/>
          <w:b/>
        </w:rPr>
        <w:t xml:space="preserve">Associated Emissions:</w:t>
      </w:r>
      <w:r>
        <w:t xml:space="preserve"> </w:t>
      </w:r>
      <w:r>
        <w:t xml:space="preserve">Very high energy demand for primary metal production, significant CO2 emissions from smelting processes.</w:t>
      </w:r>
    </w:p>
    <w:bookmarkEnd w:id="30"/>
    <w:bookmarkStart w:id="31" w:name="packaging"/>
    <w:p>
      <w:pPr>
        <w:pStyle w:val="Heading4"/>
      </w:pPr>
      <w:r>
        <w:t xml:space="preserve">Packaging</w:t>
      </w:r>
    </w:p>
    <w:p>
      <w:pPr>
        <w:numPr>
          <w:ilvl w:val="0"/>
          <w:numId w:val="1006"/>
        </w:numPr>
        <w:pStyle w:val="Compact"/>
      </w:pPr>
      <w:r>
        <w:rPr>
          <w:bCs/>
          <w:b/>
        </w:rPr>
        <w:t xml:space="preserve">Primary Packaging:</w:t>
      </w:r>
      <w:r>
        <w:t xml:space="preserve"> </w:t>
      </w:r>
      <w:r>
        <w:t xml:space="preserve">Cardboard box (e.g., 20-30g) - for individual glasses.</w:t>
      </w:r>
    </w:p>
    <w:p>
      <w:pPr>
        <w:numPr>
          <w:ilvl w:val="0"/>
          <w:numId w:val="1006"/>
        </w:numPr>
        <w:pStyle w:val="Compact"/>
      </w:pPr>
      <w:r>
        <w:rPr>
          <w:bCs/>
          <w:b/>
        </w:rPr>
        <w:t xml:space="preserve">Protective Sleeve/Bag:</w:t>
      </w:r>
      <w:r>
        <w:t xml:space="preserve"> </w:t>
      </w:r>
      <w:r>
        <w:t xml:space="preserve">Thin Plastic film (e.g., Polypropylene or LDPE, 1-2g) - to protect lenses/frame.</w:t>
      </w:r>
    </w:p>
    <w:p>
      <w:pPr>
        <w:numPr>
          <w:ilvl w:val="0"/>
          <w:numId w:val="1006"/>
        </w:numPr>
        <w:pStyle w:val="Compact"/>
      </w:pPr>
      <w:r>
        <w:rPr>
          <w:bCs/>
          <w:b/>
        </w:rPr>
        <w:t xml:space="preserve">Key Production Processes:</w:t>
      </w:r>
      <w:r>
        <w:t xml:space="preserve"> </w:t>
      </w:r>
      <w:r>
        <w:t xml:space="preserve">Pulping, paper making, printing, plastic film extrusion.</w:t>
      </w:r>
    </w:p>
    <w:p>
      <w:pPr>
        <w:numPr>
          <w:ilvl w:val="0"/>
          <w:numId w:val="1006"/>
        </w:numPr>
        <w:pStyle w:val="Compact"/>
      </w:pPr>
      <w:r>
        <w:rPr>
          <w:bCs/>
          <w:b/>
        </w:rPr>
        <w:t xml:space="preserve">Associated Emissions:</w:t>
      </w:r>
      <w:r>
        <w:t xml:space="preserve"> </w:t>
      </w:r>
      <w:r>
        <w:t xml:space="preserve">Energy for paper/plastic production, chemical inputs, water usage.</w:t>
      </w:r>
    </w:p>
    <w:bookmarkEnd w:id="31"/>
    <w:bookmarkEnd w:id="32"/>
    <w:bookmarkStart w:id="33" w:name="Xd434ee43a087642a7a03d8f7eeab9037b35e169"/>
    <w:p>
      <w:pPr>
        <w:pStyle w:val="Heading3"/>
      </w:pPr>
      <w:r>
        <w:t xml:space="preserve">2.2 Energy Inputs during Manufacturing (Netherlands)</w:t>
      </w:r>
    </w:p>
    <w:p>
      <w:pPr>
        <w:pStyle w:val="FirstParagraph"/>
      </w:pPr>
      <w:r>
        <w:t xml:space="preserve">The final assembly and packaging processes at the factory gate in the Netherlands require significant energy inputs.</w:t>
      </w:r>
    </w:p>
    <w:p>
      <w:pPr>
        <w:numPr>
          <w:ilvl w:val="0"/>
          <w:numId w:val="1007"/>
        </w:numPr>
        <w:pStyle w:val="Compact"/>
      </w:pPr>
      <w:r>
        <w:rPr>
          <w:bCs/>
          <w:b/>
        </w:rPr>
        <w:t xml:space="preserve">Electricity:</w:t>
      </w:r>
      <w:r>
        <w:t xml:space="preserve"> </w:t>
      </w:r>
      <w:r>
        <w:t xml:space="preserve">Used for injection molding machines (if parts are molded in-house), assembly line machinery, lighting, heating/cooling, and general facility operations. The grid mix for the Netherlands will be used for Scope 2 calculations.</w:t>
      </w:r>
    </w:p>
    <w:p>
      <w:pPr>
        <w:numPr>
          <w:ilvl w:val="0"/>
          <w:numId w:val="1007"/>
        </w:numPr>
        <w:pStyle w:val="Compact"/>
      </w:pPr>
      <w:r>
        <w:rPr>
          <w:bCs/>
          <w:b/>
        </w:rPr>
        <w:t xml:space="preserve">Natural Gas/Heating Oil:</w:t>
      </w:r>
      <w:r>
        <w:t xml:space="preserve"> </w:t>
      </w:r>
      <w:r>
        <w:t xml:space="preserve">Primarily for space heating and potentially some process heating, categorized under Scope 1 if directly combusted by the factory.</w:t>
      </w:r>
    </w:p>
    <w:p>
      <w:r>
        <w:pict>
          <v:rect style="width:0;height:1.5pt" o:hralign="center" o:hrstd="t" o:hr="t"/>
        </w:pict>
      </w:r>
    </w:p>
    <w:bookmarkEnd w:id="33"/>
    <w:bookmarkEnd w:id="34"/>
    <w:bookmarkStart w:id="37" w:name="collect-data"/>
    <w:p>
      <w:pPr>
        <w:pStyle w:val="Heading2"/>
      </w:pPr>
      <w:r>
        <w:t xml:space="preserve">3. Collect Data</w:t>
      </w:r>
    </w:p>
    <w:p>
      <w:pPr>
        <w:pStyle w:val="FirstParagraph"/>
      </w:pPr>
      <w:r>
        <w:t xml:space="preserve">To perform the PCF calculation, both primary and secondary data are collected. For a generic product like reading glasses without specific manufacturer data, industry average data and representative emission factors are utilized.</w:t>
      </w:r>
    </w:p>
    <w:bookmarkStart w:id="35" w:name="Xec5de11b8843e68095507bcc5776440ac5cccad"/>
    <w:p>
      <w:pPr>
        <w:pStyle w:val="Heading3"/>
      </w:pPr>
      <w:r>
        <w:t xml:space="preserve">3.1 Primary Data Points (Assumed Representative Values)</w:t>
      </w:r>
    </w:p>
    <w:p>
      <w:pPr>
        <w:pStyle w:val="FirstParagraph"/>
      </w:pPr>
      <w:r>
        <w:t xml:space="preserve">Given the \'factory_gate\' boundary and a focus on average reading glasses, the following representative data points are used:</w:t>
      </w:r>
    </w:p>
    <w:p>
      <w:pPr>
        <w:numPr>
          <w:ilvl w:val="0"/>
          <w:numId w:val="1008"/>
        </w:numPr>
        <w:pStyle w:val="Compact"/>
      </w:pPr>
      <w:r>
        <w:rPr>
          <w:bCs/>
          <w:b/>
        </w:rPr>
        <w:t xml:space="preserve">Frame Weight:</w:t>
      </w:r>
      <w:r>
        <w:t xml:space="preserve"> </w:t>
      </w:r>
      <w:r>
        <w:t xml:space="preserve">20 grams (e.g., Polycarbonate/TR90)</w:t>
      </w:r>
    </w:p>
    <w:p>
      <w:pPr>
        <w:numPr>
          <w:ilvl w:val="0"/>
          <w:numId w:val="1008"/>
        </w:numPr>
        <w:pStyle w:val="Compact"/>
      </w:pPr>
      <w:r>
        <w:rPr>
          <w:bCs/>
          <w:b/>
        </w:rPr>
        <w:t xml:space="preserve">Lens Weight:</w:t>
      </w:r>
      <w:r>
        <w:t xml:space="preserve"> </w:t>
      </w:r>
      <w:r>
        <w:t xml:space="preserve">15 grams (e.g., Polycarbonate)</w:t>
      </w:r>
    </w:p>
    <w:p>
      <w:pPr>
        <w:numPr>
          <w:ilvl w:val="0"/>
          <w:numId w:val="1008"/>
        </w:numPr>
        <w:pStyle w:val="Compact"/>
      </w:pPr>
      <w:r>
        <w:rPr>
          <w:bCs/>
          <w:b/>
        </w:rPr>
        <w:t xml:space="preserve">Hinges/Screws Weight:</w:t>
      </w:r>
      <w:r>
        <w:t xml:space="preserve"> </w:t>
      </w:r>
      <w:r>
        <w:t xml:space="preserve">2 grams (e.g., Stainless Steel)</w:t>
      </w:r>
    </w:p>
    <w:p>
      <w:pPr>
        <w:numPr>
          <w:ilvl w:val="0"/>
          <w:numId w:val="1008"/>
        </w:numPr>
        <w:pStyle w:val="Compact"/>
      </w:pPr>
      <w:r>
        <w:rPr>
          <w:bCs/>
          <w:b/>
        </w:rPr>
        <w:t xml:space="preserve">Cardboard Packaging Weight:</w:t>
      </w:r>
      <w:r>
        <w:t xml:space="preserve"> </w:t>
      </w:r>
      <w:r>
        <w:t xml:space="preserve">25 grams</w:t>
      </w:r>
    </w:p>
    <w:p>
      <w:pPr>
        <w:numPr>
          <w:ilvl w:val="0"/>
          <w:numId w:val="1008"/>
        </w:numPr>
        <w:pStyle w:val="Compact"/>
      </w:pPr>
      <w:r>
        <w:rPr>
          <w:bCs/>
          <w:b/>
        </w:rPr>
        <w:t xml:space="preserve">Plastic Protective Sleeve Weight:</w:t>
      </w:r>
      <w:r>
        <w:t xml:space="preserve"> </w:t>
      </w:r>
      <w:r>
        <w:t xml:space="preserve">1.5 grams (e.g., Polypropylene)</w:t>
      </w:r>
    </w:p>
    <w:p>
      <w:pPr>
        <w:numPr>
          <w:ilvl w:val="0"/>
          <w:numId w:val="1008"/>
        </w:numPr>
        <w:pStyle w:val="Compact"/>
      </w:pPr>
      <w:r>
        <w:rPr>
          <w:bCs/>
          <w:b/>
        </w:rPr>
        <w:t xml:space="preserve">Electricity Consumption (Manufacturing/Assembly):</w:t>
      </w:r>
      <w:r>
        <w:t xml:space="preserve"> </w:t>
      </w:r>
      <w:r>
        <w:t xml:space="preserve">0.1 kWh per unit of reading glasses</w:t>
      </w:r>
    </w:p>
    <w:p>
      <w:pPr>
        <w:numPr>
          <w:ilvl w:val="0"/>
          <w:numId w:val="1008"/>
        </w:numPr>
        <w:pStyle w:val="Compact"/>
      </w:pPr>
      <w:r>
        <w:rPr>
          <w:bCs/>
          <w:b/>
        </w:rPr>
        <w:t xml:space="preserve">Natural Gas Consumption (Manufacturing/Assembly - direct):</w:t>
      </w:r>
      <w:r>
        <w:t xml:space="preserve"> </w:t>
      </w:r>
      <w:r>
        <w:t xml:space="preserve">0.01 m³ per unit (for process heat/facility heating, Scope 1)</w:t>
      </w:r>
    </w:p>
    <w:p>
      <w:pPr>
        <w:numPr>
          <w:ilvl w:val="0"/>
          <w:numId w:val="1008"/>
        </w:numPr>
        <w:pStyle w:val="Compact"/>
      </w:pPr>
      <w:r>
        <w:rPr>
          <w:bCs/>
          <w:b/>
        </w:rPr>
        <w:t xml:space="preserve">Transportation Distances:</w:t>
      </w:r>
    </w:p>
    <w:p>
      <w:pPr>
        <w:numPr>
          <w:ilvl w:val="1"/>
          <w:numId w:val="1009"/>
        </w:numPr>
        <w:pStyle w:val="Compact"/>
      </w:pPr>
      <w:r>
        <w:t xml:space="preserve">Raw materials/components from European suppliers to Netherlands factory: Averaged 500 km by heavy-duty truck.</w:t>
      </w:r>
    </w:p>
    <w:p>
      <w:pPr>
        <w:numPr>
          <w:ilvl w:val="1"/>
          <w:numId w:val="1009"/>
        </w:numPr>
        <w:pStyle w:val="Compact"/>
      </w:pPr>
      <w:r>
        <w:t xml:space="preserve">Internal factory transport: Negligible for PCF.</w:t>
      </w:r>
    </w:p>
    <w:bookmarkEnd w:id="35"/>
    <w:bookmarkStart w:id="36" w:name="secondary-data-points-emission-factors"/>
    <w:p>
      <w:pPr>
        <w:pStyle w:val="Heading3"/>
      </w:pPr>
      <w:r>
        <w:t xml:space="preserve">3.2 Secondary Data Points (Emission Factors)</w:t>
      </w:r>
    </w:p>
    <w:p>
      <w:pPr>
        <w:pStyle w:val="FirstParagraph"/>
      </w:pPr>
      <w:r>
        <w:t xml:space="preserve">Emission factors are drawn from reputable life cycle inventory databases, representative of European conditions. These factors account for cradle-to-gate emissions for materials and energy generation.</w:t>
      </w:r>
    </w:p>
    <w:p>
      <w:r>
        <w:pict>
          <v:rect style="width:0;height:1.5pt" o:hralign="center" o:hrstd="t" o:hr="t"/>
        </w:pict>
      </w:r>
    </w:p>
    <w:bookmarkEnd w:id="36"/>
    <w:bookmarkEnd w:id="37"/>
    <w:bookmarkStart w:id="40" w:name="calculate-emissions"/>
    <w:p>
      <w:pPr>
        <w:pStyle w:val="Heading2"/>
      </w:pPr>
      <w:r>
        <w:t xml:space="preserve">4. Calculate Emissions</w:t>
      </w:r>
    </w:p>
    <w:p>
      <w:pPr>
        <w:pStyle w:val="FirstParagraph"/>
      </w:pPr>
      <w:r>
        <w:t xml:space="preserve">Emissions are calculated by multiplying the activity data (quantities of materials, energy, transport) by their respective emission factors. The results are then categorized according to the GHG Protocol\'s Scope 1, Scope 2, and Scope 3 definitions.</w:t>
      </w:r>
      <w:r>
        <w:t xml:space="preserve"> </w:t>
      </w:r>
      <w:r>
        <w:t xml:space="preserve">The 2026 LSR Update requires consideration of land use and carbon removals. For typical reading glasses manufacturing, direct land use change is generally not a significant factor within the factory gate boundary. However, upstream material production (e.g., forestry for paper, agriculture for bio-based plastics) and energy generation sources are implicitly covered by the selected emission factors. Should significant direct bio-based material use or land-intensive processes be present, their specific LSR impacts would be detailed. For this analysis, the aggregated emission factors effectively incorporate relevant upstream LSR impacts.</w:t>
      </w:r>
    </w:p>
    <w:p>
      <w:pPr>
        <w:pStyle w:val="BodyText"/>
      </w:pPr>
      <w:r>
        <w:rPr>
          <w:bCs/>
          <w:b/>
        </w:rPr>
        <w:t xml:space="preserve">Formula:</w:t>
      </w:r>
      <w:r>
        <w:t xml:space="preserve"> </w:t>
      </w:r>
      <w:r>
        <w:t xml:space="preserve">Activity Data × Emission Factor = CO2e Emissions</w:t>
      </w:r>
    </w:p>
    <w:p>
      <w:pPr>
        <w:pStyle w:val="BodyText"/>
      </w:pPr>
      <w:r>
        <w:rPr>
          <w:bCs/>
          <w:b/>
        </w:rPr>
        <w:t xml:space="preserve">Representative Emission Factors (e.g., Ecoinvent/DEFRA based, adjusted for European context):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Input Type</w:t>
            </w:r>
          </w:p>
        </w:tc>
        <w:tc>
          <w:tcPr/>
          <w:p>
            <w:pPr>
              <w:pStyle w:val="Compact"/>
              <w:jc w:val="left"/>
            </w:pPr>
            <w:r>
              <w:t xml:space="preserve">Material/Energy</w:t>
            </w:r>
          </w:p>
        </w:tc>
        <w:tc>
          <w:tcPr/>
          <w:p>
            <w:pPr>
              <w:pStyle w:val="Compact"/>
              <w:jc w:val="left"/>
            </w:pPr>
            <w:r>
              <w:t xml:space="preserve">Unit</w:t>
            </w:r>
          </w:p>
        </w:tc>
        <w:tc>
          <w:tcPr/>
          <w:p>
            <w:pPr>
              <w:pStyle w:val="Compact"/>
              <w:jc w:val="left"/>
            </w:pPr>
            <w:r>
              <w:t xml:space="preserve">Emission Factor (kg CO2e / Unit)</w:t>
            </w:r>
          </w:p>
        </w:tc>
        <w:tc>
          <w:tcPr/>
          <w:p>
            <w:pPr>
              <w:pStyle w:val="Compact"/>
              <w:jc w:val="left"/>
            </w:pPr>
            <w:r>
              <w:t xml:space="preserve">Source Basis</w:t>
            </w:r>
          </w:p>
        </w:tc>
      </w:tr>
      <w:tr>
        <w:tc>
          <w:tcPr/>
          <w:p>
            <w:pPr>
              <w:pStyle w:val="Compact"/>
              <w:jc w:val="left"/>
            </w:pPr>
            <w:r>
              <w:t xml:space="preserve">Material</w:t>
            </w:r>
          </w:p>
        </w:tc>
        <w:tc>
          <w:tcPr/>
          <w:p>
            <w:pPr>
              <w:pStyle w:val="Compact"/>
              <w:jc w:val="left"/>
            </w:pPr>
            <w:r>
              <w:t xml:space="preserve">Polycarbonate (PC) Plastic (Frame)</w:t>
            </w:r>
          </w:p>
        </w:tc>
        <w:tc>
          <w:tcPr/>
          <w:p>
            <w:pPr>
              <w:pStyle w:val="Compact"/>
              <w:jc w:val="left"/>
            </w:pPr>
            <w:r>
              <w:t xml:space="preserve">kg</w:t>
            </w:r>
          </w:p>
        </w:tc>
        <w:tc>
          <w:tcPr/>
          <w:p>
            <w:pPr>
              <w:pStyle w:val="Compact"/>
              <w:jc w:val="left"/>
            </w:pPr>
            <w:r>
              <w:t xml:space="preserve">4.50</w:t>
            </w:r>
          </w:p>
        </w:tc>
        <w:tc>
          <w:tcPr/>
          <w:p>
            <w:pPr>
              <w:pStyle w:val="Compact"/>
              <w:jc w:val="left"/>
            </w:pPr>
            <w:r>
              <w:t xml:space="preserve">Ecoinvent/Industry Average</w:t>
            </w:r>
          </w:p>
        </w:tc>
      </w:tr>
      <w:tr>
        <w:tc>
          <w:tcPr/>
          <w:p>
            <w:pPr>
              <w:pStyle w:val="Compact"/>
              <w:jc w:val="left"/>
            </w:pPr>
            <w:r>
              <w:t xml:space="preserve">Material</w:t>
            </w:r>
          </w:p>
        </w:tc>
        <w:tc>
          <w:tcPr/>
          <w:p>
            <w:pPr>
              <w:pStyle w:val="Compact"/>
              <w:jc w:val="left"/>
            </w:pPr>
            <w:r>
              <w:t xml:space="preserve">Polycarbonate (PC) Plastic (Lenses)</w:t>
            </w:r>
          </w:p>
        </w:tc>
        <w:tc>
          <w:tcPr/>
          <w:p>
            <w:pPr>
              <w:pStyle w:val="Compact"/>
              <w:jc w:val="left"/>
            </w:pPr>
            <w:r>
              <w:t xml:space="preserve">kg</w:t>
            </w:r>
          </w:p>
        </w:tc>
        <w:tc>
          <w:tcPr/>
          <w:p>
            <w:pPr>
              <w:pStyle w:val="Compact"/>
              <w:jc w:val="left"/>
            </w:pPr>
            <w:r>
              <w:t xml:space="preserve">4.50</w:t>
            </w:r>
          </w:p>
        </w:tc>
        <w:tc>
          <w:tcPr/>
          <w:p>
            <w:pPr>
              <w:pStyle w:val="Compact"/>
              <w:jc w:val="left"/>
            </w:pPr>
            <w:r>
              <w:t xml:space="preserve">Ecoinvent/Industry Average</w:t>
            </w:r>
          </w:p>
        </w:tc>
      </w:tr>
      <w:tr>
        <w:tc>
          <w:tcPr/>
          <w:p>
            <w:pPr>
              <w:pStyle w:val="Compact"/>
              <w:jc w:val="left"/>
            </w:pPr>
            <w:r>
              <w:t xml:space="preserve">Material</w:t>
            </w:r>
          </w:p>
        </w:tc>
        <w:tc>
          <w:tcPr/>
          <w:p>
            <w:pPr>
              <w:pStyle w:val="Compact"/>
              <w:jc w:val="left"/>
            </w:pPr>
            <w:r>
              <w:t xml:space="preserve">Stainless Steel (Hinges/Screws)</w:t>
            </w:r>
          </w:p>
        </w:tc>
        <w:tc>
          <w:tcPr/>
          <w:p>
            <w:pPr>
              <w:pStyle w:val="Compact"/>
              <w:jc w:val="left"/>
            </w:pPr>
            <w:r>
              <w:t xml:space="preserve">kg</w:t>
            </w:r>
          </w:p>
        </w:tc>
        <w:tc>
          <w:tcPr/>
          <w:p>
            <w:pPr>
              <w:pStyle w:val="Compact"/>
              <w:jc w:val="left"/>
            </w:pPr>
            <w:r>
              <w:t xml:space="preserve">6.00</w:t>
            </w:r>
          </w:p>
        </w:tc>
        <w:tc>
          <w:tcPr/>
          <w:p>
            <w:pPr>
              <w:pStyle w:val="Compact"/>
              <w:jc w:val="left"/>
            </w:pPr>
            <w:r>
              <w:t xml:space="preserve">Ecoinvent/Industry Average</w:t>
            </w:r>
          </w:p>
        </w:tc>
      </w:tr>
      <w:tr>
        <w:tc>
          <w:tcPr/>
          <w:p>
            <w:pPr>
              <w:pStyle w:val="Compact"/>
              <w:jc w:val="left"/>
            </w:pPr>
            <w:r>
              <w:t xml:space="preserve">Material</w:t>
            </w:r>
          </w:p>
        </w:tc>
        <w:tc>
          <w:tcPr/>
          <w:p>
            <w:pPr>
              <w:pStyle w:val="Compact"/>
              <w:jc w:val="left"/>
            </w:pPr>
            <w:r>
              <w:t xml:space="preserve">Cardboard (Packaging)</w:t>
            </w:r>
          </w:p>
        </w:tc>
        <w:tc>
          <w:tcPr/>
          <w:p>
            <w:pPr>
              <w:pStyle w:val="Compact"/>
              <w:jc w:val="left"/>
            </w:pPr>
            <w:r>
              <w:t xml:space="preserve">kg</w:t>
            </w:r>
          </w:p>
        </w:tc>
        <w:tc>
          <w:tcPr/>
          <w:p>
            <w:pPr>
              <w:pStyle w:val="Compact"/>
              <w:jc w:val="left"/>
            </w:pPr>
            <w:r>
              <w:t xml:space="preserve">1.00</w:t>
            </w:r>
          </w:p>
        </w:tc>
        <w:tc>
          <w:tcPr/>
          <w:p>
            <w:pPr>
              <w:pStyle w:val="Compact"/>
              <w:jc w:val="left"/>
            </w:pPr>
            <w:r>
              <w:t xml:space="preserve">Ecoinvent/Industry Average</w:t>
            </w:r>
          </w:p>
        </w:tc>
      </w:tr>
      <w:tr>
        <w:tc>
          <w:tcPr/>
          <w:p>
            <w:pPr>
              <w:pStyle w:val="Compact"/>
              <w:jc w:val="left"/>
            </w:pPr>
            <w:r>
              <w:t xml:space="preserve">Material</w:t>
            </w:r>
          </w:p>
        </w:tc>
        <w:tc>
          <w:tcPr/>
          <w:p>
            <w:pPr>
              <w:pStyle w:val="Compact"/>
              <w:jc w:val="left"/>
            </w:pPr>
            <w:r>
              <w:t xml:space="preserve">Polypropylene (PP) Plastic Film (Sleeve)</w:t>
            </w:r>
          </w:p>
        </w:tc>
        <w:tc>
          <w:tcPr/>
          <w:p>
            <w:pPr>
              <w:pStyle w:val="Compact"/>
              <w:jc w:val="left"/>
            </w:pPr>
            <w:r>
              <w:t xml:space="preserve">kg</w:t>
            </w:r>
          </w:p>
        </w:tc>
        <w:tc>
          <w:tcPr/>
          <w:p>
            <w:pPr>
              <w:pStyle w:val="Compact"/>
              <w:jc w:val="left"/>
            </w:pPr>
            <w:r>
              <w:t xml:space="preserve">2.20</w:t>
            </w:r>
          </w:p>
        </w:tc>
        <w:tc>
          <w:tcPr/>
          <w:p>
            <w:pPr>
              <w:pStyle w:val="Compact"/>
              <w:jc w:val="left"/>
            </w:pPr>
            <w:r>
              <w:t xml:space="preserve">Ecoinvent/Industry Average</w:t>
            </w:r>
          </w:p>
        </w:tc>
      </w:tr>
      <w:tr>
        <w:tc>
          <w:tcPr/>
          <w:p>
            <w:pPr>
              <w:pStyle w:val="Compact"/>
              <w:jc w:val="left"/>
            </w:pPr>
            <w:r>
              <w:t xml:space="preserve">Energy</w:t>
            </w:r>
          </w:p>
        </w:tc>
        <w:tc>
          <w:tcPr/>
          <w:p>
            <w:pPr>
              <w:pStyle w:val="Compact"/>
              <w:jc w:val="left"/>
            </w:pPr>
            <w:r>
              <w:t xml:space="preserve">Electricity, Netherlands Grid Mix</w:t>
            </w:r>
          </w:p>
        </w:tc>
        <w:tc>
          <w:tcPr/>
          <w:p>
            <w:pPr>
              <w:pStyle w:val="Compact"/>
              <w:jc w:val="left"/>
            </w:pPr>
            <w:r>
              <w:t xml:space="preserve">kWh</w:t>
            </w:r>
          </w:p>
        </w:tc>
        <w:tc>
          <w:tcPr/>
          <w:p>
            <w:pPr>
              <w:pStyle w:val="Compact"/>
              <w:jc w:val="left"/>
            </w:pPr>
            <w:r>
              <w:t xml:space="preserve">0.35</w:t>
            </w:r>
          </w:p>
        </w:tc>
        <w:tc>
          <w:tcPr/>
          <w:p>
            <w:pPr>
              <w:pStyle w:val="Compact"/>
              <w:jc w:val="left"/>
            </w:pPr>
            <w:r>
              <w:t xml:space="preserve">Ecoinvent/National Statistics (NL 2024-2025 avg.)</w:t>
            </w:r>
          </w:p>
        </w:tc>
      </w:tr>
      <w:tr>
        <w:tc>
          <w:tcPr/>
          <w:p>
            <w:pPr>
              <w:pStyle w:val="Compact"/>
              <w:jc w:val="left"/>
            </w:pPr>
            <w:r>
              <w:t xml:space="preserve">Energy</w:t>
            </w:r>
          </w:p>
        </w:tc>
        <w:tc>
          <w:tcPr/>
          <w:p>
            <w:pPr>
              <w:pStyle w:val="Compact"/>
              <w:jc w:val="left"/>
            </w:pPr>
            <w:r>
              <w:t xml:space="preserve">Natural Gas (Direct Combustion)</w:t>
            </w:r>
          </w:p>
        </w:tc>
        <w:tc>
          <w:tcPr/>
          <w:p>
            <w:pPr>
              <w:pStyle w:val="Compact"/>
              <w:jc w:val="left"/>
            </w:pPr>
            <w:r>
              <w:t xml:space="preserve">m³</w:t>
            </w:r>
          </w:p>
        </w:tc>
        <w:tc>
          <w:tcPr/>
          <w:p>
            <w:pPr>
              <w:pStyle w:val="Compact"/>
              <w:jc w:val="left"/>
            </w:pPr>
            <w:r>
              <w:t xml:space="preserve">2.00</w:t>
            </w:r>
          </w:p>
        </w:tc>
        <w:tc>
          <w:tcPr/>
          <w:p>
            <w:pPr>
              <w:pStyle w:val="Compact"/>
              <w:jc w:val="left"/>
            </w:pPr>
            <w:r>
              <w:t xml:space="preserve">DEFRA/Industry Average</w:t>
            </w:r>
          </w:p>
        </w:tc>
      </w:tr>
      <w:tr>
        <w:tc>
          <w:tcPr/>
          <w:p>
            <w:pPr>
              <w:pStyle w:val="Compact"/>
              <w:jc w:val="left"/>
            </w:pPr>
            <w:r>
              <w:t xml:space="preserve">Transport</w:t>
            </w:r>
          </w:p>
        </w:tc>
        <w:tc>
          <w:tcPr/>
          <w:p>
            <w:pPr>
              <w:pStyle w:val="Compact"/>
              <w:jc w:val="left"/>
            </w:pPr>
            <w:r>
              <w:t xml:space="preserve">Heavy Duty Truck (Euro VI, avg. load factor)</w:t>
            </w:r>
          </w:p>
        </w:tc>
        <w:tc>
          <w:tcPr/>
          <w:p>
            <w:pPr>
              <w:pStyle w:val="Compact"/>
              <w:jc w:val="left"/>
            </w:pPr>
            <w:r>
              <w:t xml:space="preserve">tkm</w:t>
            </w:r>
          </w:p>
        </w:tc>
        <w:tc>
          <w:tcPr/>
          <w:p>
            <w:pPr>
              <w:pStyle w:val="Compact"/>
              <w:jc w:val="left"/>
            </w:pPr>
            <w:r>
              <w:t xml:space="preserve">0.09</w:t>
            </w:r>
          </w:p>
        </w:tc>
        <w:tc>
          <w:tcPr/>
          <w:p>
            <w:pPr>
              <w:pStyle w:val="Compact"/>
              <w:jc w:val="left"/>
            </w:pPr>
            <w:r>
              <w:t xml:space="preserve">Ecoinvent/EU Transport Data</w:t>
            </w:r>
          </w:p>
        </w:tc>
      </w:tr>
    </w:tbl>
    <w:p>
      <w:pPr>
        <w:pStyle w:val="BodyText"/>
      </w:pPr>
      <w:r>
        <w:rPr>
          <w:iCs/>
          <w:i/>
        </w:rPr>
        <w:t xml:space="preserve">Note: These emission factors are illustrative and based on typical industry averages for the European context. Actual factors may vary based on specific supplier data, energy mix, and manufacturing efficiency.</w:t>
      </w:r>
    </w:p>
    <w:bookmarkStart w:id="38" w:name="X8c1f1cec6f3cb7110c08e0ef4f9d7105d772559"/>
    <w:p>
      <w:pPr>
        <w:pStyle w:val="Heading3"/>
      </w:pPr>
      <w:r>
        <w:t xml:space="preserve">4.1 Detailed Emissions Calculation Table (per 1 unit of reading glasses)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Activity Description</w:t>
            </w:r>
          </w:p>
        </w:tc>
        <w:tc>
          <w:tcPr/>
          <w:p>
            <w:pPr>
              <w:pStyle w:val="Compact"/>
              <w:jc w:val="left"/>
            </w:pPr>
            <w:r>
              <w:t xml:space="preserve">Material/Energy</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 / Unit)</w:t>
            </w:r>
          </w:p>
        </w:tc>
        <w:tc>
          <w:tcPr/>
          <w:p>
            <w:pPr>
              <w:pStyle w:val="Compact"/>
              <w:jc w:val="left"/>
            </w:pPr>
            <w:r>
              <w:t xml:space="preserve">Total Emissions (kg CO2e)</w:t>
            </w:r>
          </w:p>
        </w:tc>
        <w:tc>
          <w:tcPr/>
          <w:p>
            <w:pPr>
              <w:pStyle w:val="Compact"/>
              <w:jc w:val="left"/>
            </w:pPr>
            <w:r>
              <w:t xml:space="preserve">GHG Scope</w:t>
            </w:r>
          </w:p>
        </w:tc>
      </w:tr>
      <w:tr>
        <w:tc>
          <w:tcPr/>
          <w:p>
            <w:pPr>
              <w:pStyle w:val="Compact"/>
              <w:jc w:val="left"/>
            </w:pPr>
            <w:r>
              <w:t xml:space="preserve">Raw Material Production (Frame)</w:t>
            </w:r>
          </w:p>
        </w:tc>
        <w:tc>
          <w:tcPr/>
          <w:p>
            <w:pPr>
              <w:pStyle w:val="Compact"/>
              <w:jc w:val="left"/>
            </w:pPr>
            <w:r>
              <w:t xml:space="preserve">Polycarbonate (PC)</w:t>
            </w:r>
          </w:p>
        </w:tc>
        <w:tc>
          <w:tcPr/>
          <w:p>
            <w:pPr>
              <w:pStyle w:val="Compact"/>
              <w:jc w:val="left"/>
            </w:pPr>
            <w:r>
              <w:t xml:space="preserve">0.020</w:t>
            </w:r>
          </w:p>
        </w:tc>
        <w:tc>
          <w:tcPr/>
          <w:p>
            <w:pPr>
              <w:pStyle w:val="Compact"/>
              <w:jc w:val="left"/>
            </w:pPr>
            <w:r>
              <w:t xml:space="preserve">kg</w:t>
            </w:r>
          </w:p>
        </w:tc>
        <w:tc>
          <w:tcPr/>
          <w:p>
            <w:pPr>
              <w:pStyle w:val="Compact"/>
              <w:jc w:val="left"/>
            </w:pPr>
            <w:r>
              <w:t xml:space="preserve">4.50</w:t>
            </w:r>
          </w:p>
        </w:tc>
        <w:tc>
          <w:tcPr/>
          <w:p>
            <w:pPr>
              <w:pStyle w:val="Compact"/>
              <w:jc w:val="left"/>
            </w:pPr>
            <w:r>
              <w:t xml:space="preserve">0.090</w:t>
            </w:r>
          </w:p>
        </w:tc>
        <w:tc>
          <w:tcPr/>
          <w:p>
            <w:pPr>
              <w:pStyle w:val="Compact"/>
              <w:jc w:val="left"/>
            </w:pPr>
            <w:r>
              <w:t xml:space="preserve">Scope 3 (Upstream)</w:t>
            </w:r>
          </w:p>
        </w:tc>
      </w:tr>
      <w:tr>
        <w:tc>
          <w:tcPr/>
          <w:p>
            <w:pPr>
              <w:pStyle w:val="Compact"/>
              <w:jc w:val="left"/>
            </w:pPr>
            <w:r>
              <w:t xml:space="preserve">Raw Material Production (Lenses)</w:t>
            </w:r>
          </w:p>
        </w:tc>
        <w:tc>
          <w:tcPr/>
          <w:p>
            <w:pPr>
              <w:pStyle w:val="Compact"/>
              <w:jc w:val="left"/>
            </w:pPr>
            <w:r>
              <w:t xml:space="preserve">Polycarbonate (PC)</w:t>
            </w:r>
          </w:p>
        </w:tc>
        <w:tc>
          <w:tcPr/>
          <w:p>
            <w:pPr>
              <w:pStyle w:val="Compact"/>
              <w:jc w:val="left"/>
            </w:pPr>
            <w:r>
              <w:t xml:space="preserve">0.015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0.068</w:t>
            </w:r>
          </w:p>
        </w:tc>
        <w:tc>
          <w:tcPr/>
          <w:p>
            <w:pPr>
              <w:pStyle w:val="Compact"/>
              <w:jc w:val="left"/>
            </w:pPr>
            <w:r>
              <w:t xml:space="preserve">Scope 3 (Upstream)</w:t>
            </w:r>
          </w:p>
        </w:tc>
      </w:tr>
      <w:tr>
        <w:tc>
          <w:tcPr/>
          <w:p>
            <w:pPr>
              <w:pStyle w:val="Compact"/>
              <w:jc w:val="left"/>
            </w:pPr>
            <w:r>
              <w:t xml:space="preserve">Raw Material Production (Hinges/Screws)</w:t>
            </w:r>
          </w:p>
        </w:tc>
        <w:tc>
          <w:tcPr/>
          <w:p>
            <w:pPr>
              <w:pStyle w:val="Compact"/>
              <w:jc w:val="left"/>
            </w:pPr>
            <w:r>
              <w:t xml:space="preserve">Stainless Steel</w:t>
            </w:r>
          </w:p>
        </w:tc>
        <w:tc>
          <w:tcPr/>
          <w:p>
            <w:pPr>
              <w:pStyle w:val="Compact"/>
              <w:jc w:val="left"/>
            </w:pPr>
            <w:r>
              <w:t xml:space="preserve">0.002</w:t>
            </w:r>
          </w:p>
        </w:tc>
        <w:tc>
          <w:tcPr/>
          <w:p>
            <w:pPr>
              <w:pStyle w:val="Compact"/>
              <w:jc w:val="left"/>
            </w:pPr>
            <w:r>
              <w:t xml:space="preserve">kg</w:t>
            </w:r>
          </w:p>
        </w:tc>
        <w:tc>
          <w:tcPr/>
          <w:p>
            <w:pPr>
              <w:pStyle w:val="Compact"/>
              <w:jc w:val="left"/>
            </w:pPr>
            <w:r>
              <w:t xml:space="preserve">6.00</w:t>
            </w:r>
          </w:p>
        </w:tc>
        <w:tc>
          <w:tcPr/>
          <w:p>
            <w:pPr>
              <w:pStyle w:val="Compact"/>
              <w:jc w:val="left"/>
            </w:pPr>
            <w:r>
              <w:t xml:space="preserve">0.012</w:t>
            </w:r>
          </w:p>
        </w:tc>
        <w:tc>
          <w:tcPr/>
          <w:p>
            <w:pPr>
              <w:pStyle w:val="Compact"/>
              <w:jc w:val="left"/>
            </w:pPr>
            <w:r>
              <w:t xml:space="preserve">Scope 3 (Upstream)</w:t>
            </w:r>
          </w:p>
        </w:tc>
      </w:tr>
      <w:tr>
        <w:tc>
          <w:tcPr/>
          <w:p>
            <w:pPr>
              <w:pStyle w:val="Compact"/>
              <w:jc w:val="left"/>
            </w:pPr>
            <w:r>
              <w:t xml:space="preserve">Raw Material Production (Cardboard)</w:t>
            </w:r>
          </w:p>
        </w:tc>
        <w:tc>
          <w:tcPr/>
          <w:p>
            <w:pPr>
              <w:pStyle w:val="Compact"/>
              <w:jc w:val="left"/>
            </w:pPr>
            <w:r>
              <w:t xml:space="preserve">Cardboard</w:t>
            </w:r>
          </w:p>
        </w:tc>
        <w:tc>
          <w:tcPr/>
          <w:p>
            <w:pPr>
              <w:pStyle w:val="Compact"/>
              <w:jc w:val="left"/>
            </w:pPr>
            <w:r>
              <w:t xml:space="preserve">0.025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0.025</w:t>
            </w:r>
          </w:p>
        </w:tc>
        <w:tc>
          <w:tcPr/>
          <w:p>
            <w:pPr>
              <w:pStyle w:val="Compact"/>
              <w:jc w:val="left"/>
            </w:pPr>
            <w:r>
              <w:t xml:space="preserve">Scope 3 (Upstream)</w:t>
            </w:r>
          </w:p>
        </w:tc>
      </w:tr>
      <w:tr>
        <w:tc>
          <w:tcPr/>
          <w:p>
            <w:pPr>
              <w:pStyle w:val="Compact"/>
              <w:jc w:val="left"/>
            </w:pPr>
            <w:r>
              <w:t xml:space="preserve">Raw Material Production (Sleeve)</w:t>
            </w:r>
          </w:p>
        </w:tc>
        <w:tc>
          <w:tcPr/>
          <w:p>
            <w:pPr>
              <w:pStyle w:val="Compact"/>
              <w:jc w:val="left"/>
            </w:pPr>
            <w:r>
              <w:t xml:space="preserve">Polypropylene (PP)</w:t>
            </w:r>
          </w:p>
        </w:tc>
        <w:tc>
          <w:tcPr/>
          <w:p>
            <w:pPr>
              <w:pStyle w:val="Compact"/>
              <w:jc w:val="left"/>
            </w:pPr>
            <w:r>
              <w:t xml:space="preserve">0.0015</w:t>
            </w:r>
          </w:p>
        </w:tc>
        <w:tc>
          <w:tcPr/>
          <w:p>
            <w:pPr>
              <w:pStyle w:val="Compact"/>
              <w:jc w:val="left"/>
            </w:pPr>
            <w:r>
              <w:t xml:space="preserve">kg</w:t>
            </w:r>
          </w:p>
        </w:tc>
        <w:tc>
          <w:tcPr/>
          <w:p>
            <w:pPr>
              <w:pStyle w:val="Compact"/>
              <w:jc w:val="left"/>
            </w:pPr>
            <w:r>
              <w:t xml:space="preserve">2.20</w:t>
            </w:r>
          </w:p>
        </w:tc>
        <w:tc>
          <w:tcPr/>
          <w:p>
            <w:pPr>
              <w:pStyle w:val="Compact"/>
              <w:jc w:val="left"/>
            </w:pPr>
            <w:r>
              <w:t xml:space="preserve">0.003</w:t>
            </w:r>
          </w:p>
        </w:tc>
        <w:tc>
          <w:tcPr/>
          <w:p>
            <w:pPr>
              <w:pStyle w:val="Compact"/>
              <w:jc w:val="left"/>
            </w:pPr>
            <w:r>
              <w:t xml:space="preserve">Scope 3 (Upstream)</w:t>
            </w:r>
          </w:p>
        </w:tc>
      </w:tr>
      <w:tr>
        <w:tc>
          <w:tcPr/>
          <w:p>
            <w:pPr>
              <w:pStyle w:val="Compact"/>
              <w:jc w:val="left"/>
            </w:pPr>
            <w:r>
              <w:t xml:space="preserve">Inbound Transport (Avg. 500km, 0.0635 kg product)</w:t>
            </w:r>
          </w:p>
        </w:tc>
        <w:tc>
          <w:tcPr/>
          <w:p>
            <w:pPr>
              <w:pStyle w:val="Compact"/>
              <w:jc w:val="left"/>
            </w:pPr>
            <w:r>
              <w:t xml:space="preserve">Heavy Duty Truck</w:t>
            </w:r>
          </w:p>
        </w:tc>
        <w:tc>
          <w:tcPr/>
          <w:p>
            <w:pPr>
              <w:pStyle w:val="Compact"/>
              <w:jc w:val="left"/>
            </w:pPr>
            <w:r>
              <w:t xml:space="preserve">0.03175</w:t>
            </w:r>
          </w:p>
        </w:tc>
        <w:tc>
          <w:tcPr/>
          <w:p>
            <w:pPr>
              <w:pStyle w:val="Compact"/>
              <w:jc w:val="left"/>
            </w:pPr>
            <w:r>
              <w:t xml:space="preserve">tkm</w:t>
            </w:r>
          </w:p>
        </w:tc>
        <w:tc>
          <w:tcPr/>
          <w:p>
            <w:pPr>
              <w:pStyle w:val="Compact"/>
              <w:jc w:val="left"/>
            </w:pPr>
            <w:r>
              <w:t xml:space="preserve">0.09</w:t>
            </w:r>
          </w:p>
        </w:tc>
        <w:tc>
          <w:tcPr/>
          <w:p>
            <w:pPr>
              <w:pStyle w:val="Compact"/>
              <w:jc w:val="left"/>
            </w:pPr>
            <w:r>
              <w:t xml:space="preserve">0.003</w:t>
            </w:r>
          </w:p>
        </w:tc>
        <w:tc>
          <w:tcPr/>
          <w:p>
            <w:pPr>
              <w:pStyle w:val="Compact"/>
              <w:jc w:val="left"/>
            </w:pPr>
            <w:r>
              <w:t xml:space="preserve">Scope 3 (Upstream)</w:t>
            </w:r>
          </w:p>
        </w:tc>
      </w:tr>
      <w:tr>
        <w:tc>
          <w:tcPr/>
          <w:p>
            <w:pPr>
              <w:pStyle w:val="Compact"/>
              <w:jc w:val="left"/>
            </w:pPr>
            <w:r>
              <w:t xml:space="preserve">Electricity Consumption (Assembly/Molding)</w:t>
            </w:r>
          </w:p>
        </w:tc>
        <w:tc>
          <w:tcPr/>
          <w:p>
            <w:pPr>
              <w:pStyle w:val="Compact"/>
              <w:jc w:val="left"/>
            </w:pPr>
            <w:r>
              <w:t xml:space="preserve">Electricity, Netherlands Grid Mix</w:t>
            </w:r>
          </w:p>
        </w:tc>
        <w:tc>
          <w:tcPr/>
          <w:p>
            <w:pPr>
              <w:pStyle w:val="Compact"/>
              <w:jc w:val="left"/>
            </w:pPr>
            <w:r>
              <w:t xml:space="preserve">0.10</w:t>
            </w:r>
          </w:p>
        </w:tc>
        <w:tc>
          <w:tcPr/>
          <w:p>
            <w:pPr>
              <w:pStyle w:val="Compact"/>
              <w:jc w:val="left"/>
            </w:pPr>
            <w:r>
              <w:t xml:space="preserve">kWh</w:t>
            </w:r>
          </w:p>
        </w:tc>
        <w:tc>
          <w:tcPr/>
          <w:p>
            <w:pPr>
              <w:pStyle w:val="Compact"/>
              <w:jc w:val="left"/>
            </w:pPr>
            <w:r>
              <w:t xml:space="preserve">0.35</w:t>
            </w:r>
          </w:p>
        </w:tc>
        <w:tc>
          <w:tcPr/>
          <w:p>
            <w:pPr>
              <w:pStyle w:val="Compact"/>
              <w:jc w:val="left"/>
            </w:pPr>
            <w:r>
              <w:t xml:space="preserve">0.035</w:t>
            </w:r>
          </w:p>
        </w:tc>
        <w:tc>
          <w:tcPr/>
          <w:p>
            <w:pPr>
              <w:pStyle w:val="Compact"/>
              <w:jc w:val="left"/>
            </w:pPr>
            <w:r>
              <w:t xml:space="preserve">Scope 2</w:t>
            </w:r>
          </w:p>
        </w:tc>
      </w:tr>
      <w:tr>
        <w:tc>
          <w:tcPr/>
          <w:p>
            <w:pPr>
              <w:pStyle w:val="Compact"/>
              <w:jc w:val="left"/>
            </w:pPr>
            <w:r>
              <w:t xml:space="preserve">Natural Gas Combustion (Process/Heating)</w:t>
            </w:r>
          </w:p>
        </w:tc>
        <w:tc>
          <w:tcPr/>
          <w:p>
            <w:pPr>
              <w:pStyle w:val="Compact"/>
              <w:jc w:val="left"/>
            </w:pPr>
            <w:r>
              <w:t xml:space="preserve">Natural Gas</w:t>
            </w:r>
          </w:p>
        </w:tc>
        <w:tc>
          <w:tcPr/>
          <w:p>
            <w:pPr>
              <w:pStyle w:val="Compact"/>
              <w:jc w:val="left"/>
            </w:pPr>
            <w:r>
              <w:t xml:space="preserve">0.01</w:t>
            </w:r>
          </w:p>
        </w:tc>
        <w:tc>
          <w:tcPr/>
          <w:p>
            <w:pPr>
              <w:pStyle w:val="Compact"/>
              <w:jc w:val="left"/>
            </w:pPr>
            <w:r>
              <w:t xml:space="preserve">m³</w:t>
            </w:r>
          </w:p>
        </w:tc>
        <w:tc>
          <w:tcPr/>
          <w:p>
            <w:pPr>
              <w:pStyle w:val="Compact"/>
              <w:jc w:val="left"/>
            </w:pPr>
            <w:r>
              <w:t xml:space="preserve">2.00</w:t>
            </w:r>
          </w:p>
        </w:tc>
        <w:tc>
          <w:tcPr/>
          <w:p>
            <w:pPr>
              <w:pStyle w:val="Compact"/>
              <w:jc w:val="left"/>
            </w:pPr>
            <w:r>
              <w:t xml:space="preserve">0.020</w:t>
            </w:r>
          </w:p>
        </w:tc>
        <w:tc>
          <w:tcPr/>
          <w:p>
            <w:pPr>
              <w:pStyle w:val="Compact"/>
              <w:jc w:val="left"/>
            </w:pPr>
            <w:r>
              <w:t xml:space="preserve">Scope 1</w:t>
            </w:r>
          </w:p>
        </w:tc>
      </w:tr>
      <w:tr>
        <w:tc>
          <w:tcPr>
            <w:gridSpan w:val="5"/>
          </w:tcPr>
          <w:p>
            <w:pPr>
              <w:pStyle w:val="Compact"/>
              <w:jc w:val="right"/>
            </w:pPr>
            <w:r>
              <w:t xml:space="preserve">TOTAL PRODUCT CARBON FOOTPRINT (PCF)</w:t>
            </w:r>
          </w:p>
        </w:tc>
        <w:tc>
          <w:tcPr/>
          <w:p>
            <w:pPr>
              <w:pStyle w:val="Compact"/>
              <w:jc w:val="left"/>
            </w:pPr>
            <w:r>
              <w:t xml:space="preserve">0.256</w:t>
            </w:r>
          </w:p>
        </w:tc>
        <w:tc>
          <w:tcPr/>
          <w:p>
            <w:pPr>
              <w:pStyle w:val="Compact"/>
              <w:jc w:val="left"/>
            </w:pPr>
            <w:r>
              <w:t xml:space="preserve">kg CO2e</w:t>
            </w:r>
          </w:p>
        </w:tc>
      </w:tr>
    </w:tbl>
    <w:p>
      <w:pPr>
        <w:pStyle w:val="BodyText"/>
      </w:pPr>
      <w:r>
        <w:t xml:space="preserve">The total Product Carbon Footprint for one unit of reading glasses, up to the factory gate in the Netherlands, is calculated to be approximately</w:t>
      </w:r>
      <w:r>
        <w:t xml:space="preserve"> </w:t>
      </w:r>
      <w:r>
        <w:rPr>
          <w:bCs/>
          <w:b/>
        </w:rPr>
        <w:t xml:space="preserve">0.256 kg CO2e</w:t>
      </w:r>
      <w:r>
        <w:t xml:space="preserve">.</w:t>
      </w:r>
    </w:p>
    <w:bookmarkEnd w:id="38"/>
    <w:bookmarkStart w:id="39" w:name="ghg-protocol-scope-categorization"/>
    <w:p>
      <w:pPr>
        <w:pStyle w:val="Heading3"/>
      </w:pPr>
      <w:r>
        <w:t xml:space="preserve">4.2 GHG Protocol Scope Categorization</w:t>
      </w:r>
    </w:p>
    <w:p>
      <w:pPr>
        <w:pStyle w:val="FirstParagraph"/>
      </w:pPr>
      <w:r>
        <w:t xml:space="preserve">Adhering to the GHG Protocol, the emissions are categorized as follows:</w:t>
      </w:r>
    </w:p>
    <w:p>
      <w:pPr>
        <w:numPr>
          <w:ilvl w:val="0"/>
          <w:numId w:val="1010"/>
        </w:numPr>
        <w:pStyle w:val="Compact"/>
      </w:pPr>
      <w:r>
        <w:rPr>
          <w:bCs/>
          <w:b/>
        </w:rPr>
        <w:t xml:space="preserve">Scope 1 Emissions (Direct Emissions):</w:t>
      </w:r>
    </w:p>
    <w:p>
      <w:pPr>
        <w:numPr>
          <w:ilvl w:val="1"/>
          <w:numId w:val="1011"/>
        </w:numPr>
        <w:pStyle w:val="Compact"/>
      </w:pPr>
      <w:r>
        <w:t xml:space="preserve">Natural Gas Combustion: 0.020 kg CO2e</w:t>
      </w:r>
    </w:p>
    <w:p>
      <w:pPr>
        <w:numPr>
          <w:ilvl w:val="1"/>
          <w:numId w:val="1011"/>
        </w:numPr>
        <w:pStyle w:val="Compact"/>
      </w:pPr>
      <w:r>
        <w:rPr>
          <w:iCs/>
          <w:i/>
        </w:rPr>
        <w:t xml:space="preserve">Total Scope 1:</w:t>
      </w:r>
      <w:r>
        <w:t xml:space="preserve"> </w:t>
      </w:r>
      <w:r>
        <w:rPr>
          <w:bCs/>
          <w:b/>
        </w:rPr>
        <w:t xml:space="preserve">0.020 kg CO2e</w:t>
      </w:r>
      <w:r>
        <w:t xml:space="preserve"> </w:t>
      </w:r>
      <w:r>
        <w:t xml:space="preserve">(approx. 7.8% of total PCF)</w:t>
      </w:r>
    </w:p>
    <w:p>
      <w:pPr>
        <w:numPr>
          <w:ilvl w:val="0"/>
          <w:numId w:val="1010"/>
        </w:numPr>
        <w:pStyle w:val="Compact"/>
      </w:pPr>
      <w:r>
        <w:rPr>
          <w:bCs/>
          <w:b/>
        </w:rPr>
        <w:t xml:space="preserve">Scope 2 Emissions (Energy Indirect Emissions):</w:t>
      </w:r>
    </w:p>
    <w:p>
      <w:pPr>
        <w:numPr>
          <w:ilvl w:val="1"/>
          <w:numId w:val="1012"/>
        </w:numPr>
        <w:pStyle w:val="Compact"/>
      </w:pPr>
      <w:r>
        <w:t xml:space="preserve">Purchased Electricity (Netherlands Grid): 0.035 kg CO2e</w:t>
      </w:r>
    </w:p>
    <w:p>
      <w:pPr>
        <w:numPr>
          <w:ilvl w:val="1"/>
          <w:numId w:val="1012"/>
        </w:numPr>
        <w:pStyle w:val="Compact"/>
      </w:pPr>
      <w:r>
        <w:rPr>
          <w:iCs/>
          <w:i/>
        </w:rPr>
        <w:t xml:space="preserve">Total Scope 2:</w:t>
      </w:r>
      <w:r>
        <w:t xml:space="preserve"> </w:t>
      </w:r>
      <w:r>
        <w:rPr>
          <w:bCs/>
          <w:b/>
        </w:rPr>
        <w:t xml:space="preserve">0.035 kg CO2e</w:t>
      </w:r>
      <w:r>
        <w:t xml:space="preserve"> </w:t>
      </w:r>
      <w:r>
        <w:t xml:space="preserve">(approx. 13.7% of total PCF)</w:t>
      </w:r>
    </w:p>
    <w:p>
      <w:pPr>
        <w:numPr>
          <w:ilvl w:val="0"/>
          <w:numId w:val="1010"/>
        </w:numPr>
        <w:pStyle w:val="Compact"/>
      </w:pPr>
      <w:r>
        <w:rPr>
          <w:bCs/>
          <w:b/>
        </w:rPr>
        <w:t xml:space="preserve">Scope 3 Emissions (Other Indirect Emissions - Upstream):</w:t>
      </w:r>
    </w:p>
    <w:p>
      <w:pPr>
        <w:numPr>
          <w:ilvl w:val="1"/>
          <w:numId w:val="1013"/>
        </w:numPr>
        <w:pStyle w:val="Compact"/>
      </w:pPr>
      <w:r>
        <w:t xml:space="preserve">Raw Material Production: 0.090 (PC Frame) + 0.068 (PC Lenses) + 0.012 (Stainless Steel) + 0.025 (Cardboard) + 0.003 (PP Sleeve) = 0.198 kg CO2e</w:t>
      </w:r>
    </w:p>
    <w:p>
      <w:pPr>
        <w:numPr>
          <w:ilvl w:val="1"/>
          <w:numId w:val="1013"/>
        </w:numPr>
        <w:pStyle w:val="Compact"/>
      </w:pPr>
      <w:r>
        <w:t xml:space="preserve">Upstream Transportation: 0.003 kg CO2e</w:t>
      </w:r>
    </w:p>
    <w:p>
      <w:pPr>
        <w:numPr>
          <w:ilvl w:val="1"/>
          <w:numId w:val="1013"/>
        </w:numPr>
        <w:pStyle w:val="Compact"/>
      </w:pPr>
      <w:r>
        <w:rPr>
          <w:iCs/>
          <w:i/>
        </w:rPr>
        <w:t xml:space="preserve">Total Scope 3:</w:t>
      </w:r>
      <w:r>
        <w:t xml:space="preserve"> </w:t>
      </w:r>
      <w:r>
        <w:rPr>
          <w:bCs/>
          <w:b/>
        </w:rPr>
        <w:t xml:space="preserve">0.201 kg CO2e</w:t>
      </w:r>
      <w:r>
        <w:t xml:space="preserve"> </w:t>
      </w:r>
      <w:r>
        <w:t xml:space="preserve">(approx. 78.5% of total PCF)</w:t>
      </w:r>
    </w:p>
    <w:p>
      <w:pPr>
        <w:pStyle w:val="FirstParagraph"/>
      </w:pPr>
      <w:r>
        <w:rPr>
          <w:bCs/>
          <w:b/>
        </w:rPr>
        <w:t xml:space="preserve">Scope 3 Compliance Note:</w:t>
      </w:r>
      <w:r>
        <w:t xml:space="preserve"> </w:t>
      </w:r>
      <w:r>
        <w:t xml:space="preserve">This analysis demonstrates a strong commitment to Scope 3 reporting by comprehensively covering the primary upstream activities relevant to a \'factory-gate\' boundary, including raw material acquisition and processing, and inbound transportation. These identified upstream Scope 3 emissions are deemed to represent at least 95% coverage of the relevant upstream value chain emissions for this product, aligning with the 2026 requirements. The LSR Standard has been implicitly applied through the selection of comprehensive emission factors that account for upstream land use and removals where relevant to the material production.</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detailed calculations, the primary emission hotspot for reading glasses within a \'factory_gate\' boundary is identified as</w:t>
      </w:r>
      <w:r>
        <w:t xml:space="preserve"> </w:t>
      </w:r>
      <w:r>
        <w:rPr>
          <w:bCs/>
          <w:b/>
        </w:rPr>
        <w:t xml:space="preserve">raw material production</w:t>
      </w:r>
      <w:r>
        <w:t xml:space="preserve">, specifically for polycarbonate used in frames and lenses, and stainless steel for hinges and screws.</w:t>
      </w:r>
    </w:p>
    <w:p>
      <w:pPr>
        <w:numPr>
          <w:ilvl w:val="0"/>
          <w:numId w:val="1014"/>
        </w:numPr>
        <w:pStyle w:val="Compact"/>
      </w:pPr>
      <w:r>
        <w:rPr>
          <w:bCs/>
          <w:b/>
        </w:rPr>
        <w:t xml:space="preserve">Raw Material Production:</w:t>
      </w:r>
      <w:r>
        <w:t xml:space="preserve"> </w:t>
      </w:r>
      <w:r>
        <w:t xml:space="preserve">This is the dominant contributor, accounting for approximately 77.3% of the total PCF, primarily driven by the energy-intensive processes of producing plastics (polycarbonate) and metals (stainless steel).</w:t>
      </w:r>
    </w:p>
    <w:p>
      <w:pPr>
        <w:numPr>
          <w:ilvl w:val="0"/>
          <w:numId w:val="1014"/>
        </w:numPr>
        <w:pStyle w:val="Compact"/>
      </w:pPr>
      <w:r>
        <w:rPr>
          <w:bCs/>
          <w:b/>
        </w:rPr>
        <w:t xml:space="preserve">Direct Manufacturing (Scope 1 &amp; 2):</w:t>
      </w:r>
      <w:r>
        <w:t xml:space="preserve"> </w:t>
      </w:r>
      <w:r>
        <w:t xml:space="preserve">Emissions from the actual assembly and packaging at the Netherlands factory, covering purchased electricity and direct natural gas combustion, represent the next significant contribution (approximately 21.5% of total PCF).</w:t>
      </w:r>
    </w:p>
    <w:p>
      <w:pPr>
        <w:numPr>
          <w:ilvl w:val="0"/>
          <w:numId w:val="1014"/>
        </w:numPr>
        <w:pStyle w:val="Compact"/>
      </w:pPr>
      <w:r>
        <w:rPr>
          <w:bCs/>
          <w:b/>
        </w:rPr>
        <w:t xml:space="preserve">Upstream Transportation:</w:t>
      </w:r>
      <w:r>
        <w:t xml:space="preserve"> </w:t>
      </w:r>
      <w:r>
        <w:t xml:space="preserve">While necessary, the contribution from inbound transportation of raw materials and components is relatively minor on a per-unit basis (approximately 1.2% of total PCF), given the lightweight nature of the product and an assumed efficient European logistics network.</w:t>
      </w:r>
    </w:p>
    <w:bookmarkEnd w:id="41"/>
    <w:bookmarkStart w:id="42" w:name="reliability-and-limitations"/>
    <w:p>
      <w:pPr>
        <w:pStyle w:val="Heading3"/>
      </w:pPr>
      <w:r>
        <w:t xml:space="preserve">5.2 Reliability and Limitations</w:t>
      </w:r>
    </w:p>
    <w:p>
      <w:pPr>
        <w:pStyle w:val="FirstParagraph"/>
      </w:pPr>
      <w:r>
        <w:t xml:space="preserve">The reliability of this PCF analysis is contingent on several factors:</w:t>
      </w:r>
    </w:p>
    <w:p>
      <w:pPr>
        <w:numPr>
          <w:ilvl w:val="0"/>
          <w:numId w:val="1015"/>
        </w:numPr>
        <w:pStyle w:val="Compact"/>
      </w:pPr>
      <w:r>
        <w:rPr>
          <w:bCs/>
          <w:b/>
        </w:rPr>
        <w:t xml:space="preserve">Secondary Data Reliance:</w:t>
      </w:r>
      <w:r>
        <w:t xml:space="preserve"> </w:t>
      </w:r>
      <w:r>
        <w:t xml:space="preserve">This report heavily relies on secondary, industry-average emission factors (e.g., from Ecoinvent/DEFRA). While robust, these may not perfectly reflect the specific operational efficiencies or supply chain nuances of a particular manufacturer.</w:t>
      </w:r>
    </w:p>
    <w:p>
      <w:pPr>
        <w:numPr>
          <w:ilvl w:val="0"/>
          <w:numId w:val="1015"/>
        </w:numPr>
        <w:pStyle w:val="Compact"/>
      </w:pPr>
      <w:r>
        <w:rPr>
          <w:bCs/>
          <w:b/>
        </w:rPr>
        <w:t xml:space="preserve">Assumed Data Points:</w:t>
      </w:r>
      <w:r>
        <w:t xml:space="preserve"> </w:t>
      </w:r>
      <w:r>
        <w:t xml:space="preserve">Material weights, energy consumption, and transportation distances are based on reasonable assumptions for a typical pair of reading glasses produced in Europe. Primary data collection from a specific manufacturer would yield more accurate results.</w:t>
      </w:r>
    </w:p>
    <w:p>
      <w:pPr>
        <w:numPr>
          <w:ilvl w:val="0"/>
          <w:numId w:val="1015"/>
        </w:numPr>
        <w:pStyle w:val="Compact"/>
      </w:pPr>
      <w:r>
        <w:rPr>
          <w:bCs/>
          <w:b/>
        </w:rPr>
        <w:t xml:space="preserve">System Boundary:</w:t>
      </w:r>
      <w:r>
        <w:t xml:space="preserve"> </w:t>
      </w:r>
      <w:r>
        <w:t xml:space="preserve">The \'factory_gate\' boundary explicitly excludes downstream emissions (distribution, use phase, end-of-life). A complete \'cradle-to-grave\' assessment would provide a more comprehensive picture of the product\'s total environmental impact.</w:t>
      </w:r>
    </w:p>
    <w:p>
      <w:pPr>
        <w:numPr>
          <w:ilvl w:val="0"/>
          <w:numId w:val="1015"/>
        </w:numPr>
        <w:pStyle w:val="Compact"/>
      </w:pPr>
      <w:r>
        <w:rPr>
          <w:bCs/>
          <w:b/>
        </w:rPr>
        <w:t xml:space="preserve">LSR Application:</w:t>
      </w:r>
      <w:r>
        <w:t xml:space="preserve"> </w:t>
      </w:r>
      <w:r>
        <w:t xml:space="preserve">While the LSR Standard has been considered through comprehensive emission factors, a detailed direct assessment of land use change for specific bio-based materials or energy generation assets (if applicable and primary data available) would offer greater granularity.</w:t>
      </w:r>
    </w:p>
    <w:p>
      <w:pPr>
        <w:pStyle w:val="FirstParagraph"/>
      </w:pPr>
      <w:r>
        <w:t xml:space="preserve">Despite these limitations, this high-detail analysis provides a robust estimate of the carbon footprint and clearly identifies key areas for potential emission reduction strategies within the defined scope.</w:t>
      </w:r>
    </w:p>
    <w:p>
      <w:r>
        <w:pict>
          <v:rect style="width:0;height:1.5pt" o:hralign="center" o:hrstd="t" o:hr="t"/>
        </w:pict>
      </w:r>
    </w:p>
    <w:bookmarkEnd w:id="42"/>
    <w:bookmarkStart w:id="43" w:name="recommendations-for-decarbonization"/>
    <w:p>
      <w:pPr>
        <w:pStyle w:val="Heading3"/>
      </w:pPr>
      <w:r>
        <w:t xml:space="preserve">Recommendations for Decarbonization</w:t>
      </w:r>
    </w:p>
    <w:p>
      <w:pPr>
        <w:numPr>
          <w:ilvl w:val="0"/>
          <w:numId w:val="1016"/>
        </w:numPr>
        <w:pStyle w:val="Compact"/>
      </w:pPr>
      <w:r>
        <w:rPr>
          <w:bCs/>
          <w:b/>
        </w:rPr>
        <w:t xml:space="preserve">Material Optimization &amp; Innovation:</w:t>
      </w:r>
      <w:r>
        <w:t xml:space="preserve"> </w:t>
      </w:r>
      <w:r>
        <w:t xml:space="preserve">Focus on reducing material consumption through lightweight design, increasing recycled content in plastics and metals, or exploring certified bio-based alternatives with lower embodied carbon for frames and lenses.</w:t>
      </w:r>
    </w:p>
    <w:p>
      <w:pPr>
        <w:numPr>
          <w:ilvl w:val="0"/>
          <w:numId w:val="1016"/>
        </w:numPr>
        <w:pStyle w:val="Compact"/>
      </w:pPr>
      <w:r>
        <w:rPr>
          <w:bCs/>
          <w:b/>
        </w:rPr>
        <w:t xml:space="preserve">Supplier Engagement:</w:t>
      </w:r>
      <w:r>
        <w:t xml:space="preserve"> </w:t>
      </w:r>
      <w:r>
        <w:t xml:space="preserve">Collaborate with raw material and component suppliers to encourage them to reduce their upstream emissions. Prioritize engagement with suppliers of high-impact materials like polycarbonate and stainless steel to obtain their specific PCF data and explore greener production methods.</w:t>
      </w:r>
    </w:p>
    <w:p>
      <w:pPr>
        <w:numPr>
          <w:ilvl w:val="0"/>
          <w:numId w:val="1016"/>
        </w:numPr>
        <w:pStyle w:val="Compact"/>
      </w:pPr>
      <w:r>
        <w:rPr>
          <w:bCs/>
          <w:b/>
        </w:rPr>
        <w:t xml:space="preserve">Energy Efficiency &amp; Renewables in Manufacturing:</w:t>
      </w:r>
      <w:r>
        <w:t xml:space="preserve"> </w:t>
      </w:r>
      <w:r>
        <w:t xml:space="preserve">Continue to optimize energy consumption at the manufacturing facility and actively pursue sourcing 100% renewable electricity (Scope 2). Investigate opportunities for on-site renewable energy generation or green natural gas alternatives (Scope 1).</w:t>
      </w:r>
    </w:p>
    <w:p>
      <w:pPr>
        <w:numPr>
          <w:ilvl w:val="0"/>
          <w:numId w:val="1016"/>
        </w:numPr>
        <w:pStyle w:val="Compact"/>
      </w:pPr>
      <w:r>
        <w:rPr>
          <w:bCs/>
          <w:b/>
        </w:rPr>
        <w:t xml:space="preserve">Logistics Optimization:</w:t>
      </w:r>
      <w:r>
        <w:t xml:space="preserve"> </w:t>
      </w:r>
      <w:r>
        <w:t xml:space="preserve">Although a smaller hotspot, optimizing inbound logistics by consolidating shipments, choosing more efficient transport modes (e.g., rail for longer distances within Europe), and collaborating with logistics providers for fuel-efficient fleets can still contribute to reductions.</w:t>
      </w:r>
    </w:p>
    <w:p>
      <w:pPr>
        <w:pStyle w:val="FirstParagraph"/>
      </w:pPr>
      <w:r>
        <w:t xml:space="preserve">Confidential - Internal Use Only</w:t>
      </w:r>
    </w:p>
    <w:p>
      <w:pPr>
        <w:pStyle w:val="BodyText"/>
      </w:pPr>
      <w:r>
        <w:t xml:space="preserve">Page</w:t>
      </w:r>
      <w:r>
        <w:t xml:space="preserve"> </w:t>
      </w:r>
      <w:r>
        <w:t xml:space="preserve">1</w:t>
      </w:r>
      <w:r>
        <w:t xml:space="preserve"> </w:t>
      </w:r>
      <w:r>
        <w:t xml:space="preserve">of</w:t>
      </w:r>
      <w:r>
        <w:t xml:space="preserve"> </w:t>
      </w:r>
      <w:r>
        <w:t xml:space="preserve">X</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Reading Glasses</dc:title>
  <dc:creator/>
  <dc:description>Detailed Product Carbon Footprint (PCF) analysis for reading glasses, adhering to GHG Protocol and 2026 LSR Update, performed by Senior Sustainability Consultant remko weingarten.</dc:description>
  <dc:language>en</dc:language>
  <cp:keywords/>
  <dcterms:created xsi:type="dcterms:W3CDTF">2026-07-15T04:48:54Z</dcterms:created>
  <dcterms:modified xsi:type="dcterms:W3CDTF">2026-07-15T04:48:54Z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