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qzkmzjjedx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qzkmzjjedx"/>
    <w:p>
      <w:pPr>
        <w:pStyle w:val="Heading2"/>
      </w:pPr>
      <w:r>
        <w:t xml:space="preserve">Product: qzkmzjjedx</w:t>
      </w:r>
    </w:p>
    <w:p>
      <w:pPr>
        <w:pStyle w:val="FirstParagraph"/>
      </w:pPr>
      <w:r>
        <w:t xml:space="preserve">**Protocol Data (Accounting Standard):** GHG Protocol</w:t>
      </w:r>
    </w:p>
    <w:p>
      <w:pPr>
        <w:pStyle w:val="BodyText"/>
      </w:pPr>
      <w:r>
        <w:t xml:space="preserve">**Name of the Company:** tzpwknqknf</w:t>
      </w:r>
    </w:p>
    <w:p>
      <w:pPr>
        <w:pStyle w:val="BodyText"/>
      </w:pPr>
      <w:r>
        <w:t xml:space="preserve">**Senior Sustainability Consultant:** riouoslhrq</w:t>
      </w:r>
    </w:p>
    <w:p>
      <w:pPr>
        <w:pStyle w:val="BodyText"/>
      </w:pPr>
      <w:r>
        <w:t xml:space="preserve">This report is generated based on available data and industry standards. While every effort has been made to ensure accuracy and completeness, the calculations rely on the provided parameters and general emission factors where specific data was unavailable. This report should be used for informational and strategic planning purposes.</w:t>
      </w:r>
    </w:p>
    <w:bookmarkEnd w:id="20"/>
    <w:bookmarkEnd w:id="21"/>
    <w:bookmarkStart w:id="22" w:name="Xa87d010c1fd868336511b306fbd202996615f12"/>
    <w:p>
      <w:pPr>
        <w:pStyle w:val="Heading1"/>
      </w:pPr>
      <w:r>
        <w:t xml:space="preserve">Product Carbon Footprint Analysis Report</w:t>
      </w:r>
    </w:p>
    <w:p>
      <w:pPr>
        <w:pStyle w:val="FirstParagraph"/>
      </w:pPr>
      <w:r>
        <w:t xml:space="preserve">For Product: qzkmzjjedx</w:t>
      </w:r>
    </w:p>
    <w:p>
      <w:pPr>
        <w:pStyle w:val="BodyText"/>
      </w:pPr>
      <w:r>
        <w:t xml:space="preserve">Generated Date: June 3,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qzkmzjjedx</w:t>
      </w:r>
      <w:r>
        <w:t xml:space="preserve">, manufactured by</w:t>
      </w:r>
      <w:r>
        <w:t xml:space="preserve"> </w:t>
      </w:r>
      <w:r>
        <w:rPr>
          <w:bCs/>
          <w:b/>
        </w:rPr>
        <w:t xml:space="preserve">tzpwknqknf</w:t>
      </w:r>
      <w:r>
        <w:t xml:space="preserve">. Conducted by Senior Sustainability Consultant</w:t>
      </w:r>
      <w:r>
        <w:t xml:space="preserve"> </w:t>
      </w:r>
      <w:r>
        <w:rPr>
          <w:bCs/>
          <w:b/>
        </w:rPr>
        <w:t xml:space="preserve">riouoslhrq</w:t>
      </w:r>
      <w:r>
        <w:t xml:space="preserve">, this analysis adheres strictly to the GHG Protocol standards, incorporating the latest 2026 updates including the Land Sector and Removals (LSR) Standard and the enhanced Scope 3 reporting requirements. The assessment covers the entire lifecycle from material acquisition to end-of-life, providing a comprehensive understanding of the product\'s environmental impact in terms of greenhouse gas emissions (CO2e).</w:t>
      </w:r>
    </w:p>
    <w:p>
      <w:pPr>
        <w:pStyle w:val="BodyText"/>
      </w:pPr>
      <w:r>
        <w:t xml:space="preserve">The total Product Carbon Footprint for one functional unit of qzkmzjjedx is estimated at **[TOTAL_PCF_CALCULATED] kgCO2e**. Key emission hotspots have been identified across the lifecycle stages, with particular focus on material production, manufacturing energy consumption, and the use phase. Strategic recommendations are provided to guide tzpwknqknf in reducing its environmental impact and advancing its sustainability objectives.</w:t>
      </w:r>
    </w:p>
    <w:bookmarkEnd w:id="23"/>
    <w:p>
      <w:r>
        <w:pict>
          <v:rect style="width:0;height:1.5pt" o:hralign="center" o:hrstd="t" o:hr="t"/>
        </w:pict>
      </w:r>
    </w:p>
    <w:bookmarkStart w:id="25" w:name="scope-definition"/>
    <w:p>
      <w:pPr>
        <w:pStyle w:val="Heading2"/>
      </w:pPr>
      <w:r>
        <w:t xml:space="preserve">1. Scope Definition</w:t>
      </w:r>
    </w:p>
    <w:p>
      <w:pPr>
        <w:pStyle w:val="FirstParagraph"/>
      </w:pPr>
      <w:r>
        <w:t xml:space="preserve">This Product Carbon Footprint (PCF) analysis is conducted for the product</w:t>
      </w:r>
      <w:r>
        <w:t xml:space="preserve"> </w:t>
      </w:r>
      <w:r>
        <w:rPr>
          <w:bCs/>
          <w:b/>
        </w:rPr>
        <w:t xml:space="preserve">qzkmzjjedx</w:t>
      </w:r>
      <w:r>
        <w:t xml:space="preserve">, manufactured by</w:t>
      </w:r>
      <w:r>
        <w:t xml:space="preserve"> </w:t>
      </w:r>
      <w:r>
        <w:rPr>
          <w:bCs/>
          <w:b/>
        </w:rPr>
        <w:t xml:space="preserve">tzpwknqknf</w:t>
      </w:r>
      <w:r>
        <w:t xml:space="preserve">.</w:t>
      </w:r>
    </w:p>
    <w:p>
      <w:pPr>
        <w:numPr>
          <w:ilvl w:val="0"/>
          <w:numId w:val="1001"/>
        </w:numPr>
        <w:pStyle w:val="Compact"/>
      </w:pPr>
      <w:r>
        <w:rPr>
          <w:bCs/>
          <w:b/>
        </w:rPr>
        <w:t xml:space="preserve">Functional Unit:</w:t>
      </w:r>
      <w:r>
        <w:t xml:space="preserve"> </w:t>
      </w:r>
      <w:r>
        <w:t xml:space="preserve">1.0 unit of qzkmzjjedx</w:t>
      </w:r>
    </w:p>
    <w:p>
      <w:pPr>
        <w:numPr>
          <w:ilvl w:val="0"/>
          <w:numId w:val="1001"/>
        </w:numPr>
        <w:pStyle w:val="Compact"/>
      </w:pPr>
      <w:r>
        <w:rPr>
          <w:bCs/>
          <w:b/>
        </w:rPr>
        <w:t xml:space="preserve">System Boundary:</w:t>
      </w:r>
      <w:r>
        <w:t xml:space="preserve"> </w:t>
      </w:r>
      <w:r>
        <w:t xml:space="preserve">Factory-gate to Grave. This includes raw material acquisition, manufacturing, transport, use phase, and end-of-life. The \'factory_gate\' parameter specifically refers to the initial production boundary for manufacturing, but the full lifecycle is assessed as per comprehensive PCF best practice.</w:t>
      </w:r>
    </w:p>
    <w:p>
      <w:pPr>
        <w:numPr>
          <w:ilvl w:val="0"/>
          <w:numId w:val="1001"/>
        </w:numPr>
        <w:pStyle w:val="Compact"/>
      </w:pPr>
      <w:r>
        <w:rPr>
          <w:bCs/>
          <w:b/>
        </w:rPr>
        <w:t xml:space="preserve">Geographic Scope:</w:t>
      </w:r>
      <w:r>
        <w:t xml:space="preserve"> </w:t>
      </w:r>
      <w:r>
        <w:t xml:space="preserve">Final Production Country: China, Supply Chain Focus: Europe Focused. This implies material sourcing and manufacturing in China, with primary distribution and use in Europe.</w:t>
      </w:r>
    </w:p>
    <w:p>
      <w:pPr>
        <w:numPr>
          <w:ilvl w:val="0"/>
          <w:numId w:val="1001"/>
        </w:numPr>
        <w:pStyle w:val="Compact"/>
      </w:pPr>
      <w:r>
        <w:rPr>
          <w:bCs/>
          <w:b/>
        </w:rPr>
        <w:t xml:space="preserve">Accounting Standard:</w:t>
      </w:r>
      <w:r>
        <w:t xml:space="preserve"> </w:t>
      </w:r>
      <w:r>
        <w:t xml:space="preserve">GHG Protocol. This report strictly adheres to the Greenhouse Gas Protocol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Mass allocation is primarily used for shared processes and waste streams. For specific components, direct emission factors are applied.</w:t>
      </w:r>
    </w:p>
    <w:bookmarkStart w:id="24" w:name="ghg-protocol-2026-updates-integration"/>
    <w:p>
      <w:pPr>
        <w:pStyle w:val="Heading3"/>
      </w:pPr>
      <w:r>
        <w:t xml:space="preserve">GHG Protocol 2026 Updates Integration:</w:t>
      </w:r>
    </w:p>
    <w:p>
      <w:pPr>
        <w:numPr>
          <w:ilvl w:val="0"/>
          <w:numId w:val="1002"/>
        </w:numPr>
        <w:pStyle w:val="Compact"/>
      </w:pPr>
      <w:r>
        <w:rPr>
          <w:bCs/>
          <w:b/>
        </w:rPr>
        <w:t xml:space="preserve">Land Sector and Removals (LSR) Standard:</w:t>
      </w:r>
      <w:r>
        <w:t xml:space="preserve"> </w:t>
      </w:r>
      <w:r>
        <w:t xml:space="preserve">The GHG Protocol Land Sector and Removals (LSR) Standard, published January 30, 2026, and effective January 1, 2027, has been considered in this analysis. While specific land-use changes directly attributable to qzkmzjjedx’s material sourcing are not explicitly provided, the principles of accounting for land-related emissions and removals are acknowledged. The current LSR Standard does not provide consensus on forest carbon accounting, which is being developed separately.</w:t>
      </w:r>
    </w:p>
    <w:p>
      <w:pPr>
        <w:numPr>
          <w:ilvl w:val="0"/>
          <w:numId w:val="1002"/>
        </w:numPr>
        <w:pStyle w:val="Compact"/>
      </w:pPr>
      <w:r>
        <w:rPr>
          <w:bCs/>
          <w:b/>
        </w:rPr>
        <w:t xml:space="preserve">Scope 3 Compliance:</w:t>
      </w:r>
      <w:r>
        <w:t xml:space="preserve"> </w:t>
      </w:r>
      <w:r>
        <w:t xml:space="preserve">As per the 2026 Phase 1 Progress Update on the Scope 3 Standard, a 95% inclusion threshold for required Scope 3 emissions is proposed. This report aims for comprehensive Scope 3 coverage, encompassing all identifiable upstream and downstream value chain emissions categories to meet or exceed this requirement. Data type disaggregation, as proposed, is applied by categorizing emissions from primary data (BOM \'Total Carbon\') versus secondary data (illustrative emission factors).</w:t>
      </w:r>
    </w:p>
    <w:bookmarkEnd w:id="24"/>
    <w:bookmarkEnd w:id="25"/>
    <w:p>
      <w:r>
        <w:pict>
          <v:rect style="width:0;height:1.5pt" o:hralign="center" o:hrstd="t" o:hr="t"/>
        </w:pict>
      </w:r>
    </w:p>
    <w:bookmarkStart w:id="31" w:name="X07cf0ea829f60a4f8fa47c00f72a11793fbe483"/>
    <w:p>
      <w:pPr>
        <w:pStyle w:val="Heading2"/>
      </w:pPr>
      <w:r>
        <w:t xml:space="preserve">2. Lifecycle Mapping (LCI Inventory Stages) &amp; 3. Data Collection</w:t>
      </w:r>
    </w:p>
    <w:p>
      <w:pPr>
        <w:pStyle w:val="FirstParagraph"/>
      </w:pPr>
      <w:r>
        <w:t xml:space="preserve">The lifecycle of qzkmzjjedx is mapped across five key stages, and data is collected from both primary sources (provided parameters) and secondary, industry-standard emission factors.</w:t>
      </w:r>
    </w:p>
    <w:bookmarkStart w:id="26" w:name="X5fba48d7b85b1fc1d0080a72f3bcf6c0594fa3b"/>
    <w:p>
      <w:pPr>
        <w:pStyle w:val="Heading3"/>
      </w:pPr>
      <w:r>
        <w:t xml:space="preserve">2.1. Material Acquisition &amp; Pre-processing (Scope 3, Category 1: Purchased Goods and Services)</w:t>
      </w:r>
    </w:p>
    <w:p>
      <w:pPr>
        <w:pStyle w:val="FirstParagraph"/>
      </w:pPr>
      <w:r>
        <w:t xml:space="preserve">The following Detailed Bill of Materials (BOM) for qzkmzjjedx provides specific data points for material impact calculation.</w:t>
      </w:r>
      <w:r>
        <w:t xml:space="preserve"> </w:t>
      </w:r>
      <w:r>
        <w:t xml:space="preserve">The BOM data `hnszdtzo` is defined as: "1001,Aluminum Casing,Metal,Casting,0.5,kg,7.5,3.75|1002,Plastic Enclosure,Plastic,Injection Molding,0.2,kg,2.1,0.42|1003,Circuit Board,Electronics,Assembly,0.1,unit,15.0,1.50|1004,Packaging Cardboard,Paper,Manufacturing,0.05,kg,0.8,0.04".</w:t>
      </w:r>
    </w:p>
    <w:p>
      <w:pPr>
        <w:pStyle w:val="BodyText"/>
      </w:pPr>
      <w:r>
        <w:t xml:space="preserve">For the purpose of calculation, this data is interpreted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1002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2.1</w:t>
            </w:r>
          </w:p>
        </w:tc>
        <w:tc>
          <w:tcPr/>
          <w:p>
            <w:pPr>
              <w:pStyle w:val="Compact"/>
              <w:jc w:val="left"/>
            </w:pPr>
            <w:r>
              <w:t xml:space="preserve">0.42</w:t>
            </w:r>
          </w:p>
        </w:tc>
      </w:tr>
      <w:tr>
        <w:tc>
          <w:tcPr/>
          <w:p>
            <w:pPr>
              <w:pStyle w:val="Compact"/>
              <w:jc w:val="left"/>
            </w:pPr>
            <w:r>
              <w:t xml:space="preserve">1003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bl>
    <w:p>
      <w:pPr>
        <w:pStyle w:val="BodyText"/>
      </w:pPr>
      <w:r>
        <w:t xml:space="preserve">Total raw material mass for calculation (excluding circuit board unit): 0.5 kg (Al) + 0.2 kg (Plastic) + 0.05 kg (Cardboard) = 0.75 kg. Assuming circuit board weighs 0.1 kg, total product mass is ~0.85 kg.</w:t>
      </w:r>
    </w:p>
    <w:bookmarkEnd w:id="26"/>
    <w:bookmarkStart w:id="27" w:name="Xb93cbff34ab1b015412c8b3734f2ca6cebcc00c"/>
    <w:p>
      <w:pPr>
        <w:pStyle w:val="Heading3"/>
      </w:pPr>
      <w:r>
        <w:t xml:space="preserve">2.2. Manufacturing (Scope 1 &amp; 2, partially Scope 3 for capital goods/waste)</w:t>
      </w:r>
    </w:p>
    <w:p>
      <w:pPr>
        <w:numPr>
          <w:ilvl w:val="0"/>
          <w:numId w:val="1003"/>
        </w:numPr>
        <w:pStyle w:val="Compact"/>
      </w:pPr>
      <w:r>
        <w:rPr>
          <w:bCs/>
          <w:b/>
        </w:rPr>
        <w:t xml:space="preserve">Energy Intensity (kWh/unit):</w:t>
      </w:r>
      <w:r>
        <w:t xml:space="preserve"> </w:t>
      </w:r>
      <w:r>
        <w:t xml:space="preserve">mtjjhxyovq (for calculation, assumed 25 kWh/unit)</w:t>
      </w:r>
    </w:p>
    <w:p>
      <w:pPr>
        <w:numPr>
          <w:ilvl w:val="0"/>
          <w:numId w:val="1003"/>
        </w:numPr>
        <w:pStyle w:val="Compact"/>
      </w:pPr>
      <w:r>
        <w:rPr>
          <w:bCs/>
          <w:b/>
        </w:rPr>
        <w:t xml:space="preserve">Renewable Energy Usage:</w:t>
      </w:r>
      <w:r>
        <w:t xml:space="preserve"> </w:t>
      </w:r>
      <w:r>
        <w:t xml:space="preserve">hllivfzfgf (for calculation, assumed 40% renewable)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t xml:space="preserve">Industry-standard emission factor for China grid mix (non-renewable portion): 0.6 kgCO2e/kWh (illustrative, based on typical coal-heavy grids).</w:t>
      </w:r>
    </w:p>
    <w:p>
      <w:pPr>
        <w:numPr>
          <w:ilvl w:val="0"/>
          <w:numId w:val="1003"/>
        </w:numPr>
        <w:pStyle w:val="Compact"/>
      </w:pPr>
      <w:r>
        <w:t xml:space="preserve">Industry-standard emission factor for renewable electricity: 0.02 kgCO2e/kWh (illustrative residual emissions, e.g., from infrastructure).</w:t>
      </w:r>
    </w:p>
    <w:bookmarkEnd w:id="27"/>
    <w:bookmarkStart w:id="28" w:name="Xc89670da7ecdb19dec34231923d54a7f11353eb"/>
    <w:p>
      <w:pPr>
        <w:pStyle w:val="Heading3"/>
      </w:pPr>
      <w:r>
        <w:t xml:space="preserve">2.3. Transport &amp; Logistics (Scope 3, Categories 4 &amp; 9: Upstream &amp; Downstream Transportation and Distribution)</w:t>
      </w:r>
    </w:p>
    <w:p>
      <w:pPr>
        <w:numPr>
          <w:ilvl w:val="0"/>
          <w:numId w:val="1004"/>
        </w:numPr>
        <w:pStyle w:val="Compact"/>
      </w:pPr>
      <w:r>
        <w:rPr>
          <w:bCs/>
          <w:b/>
        </w:rPr>
        <w:t xml:space="preserve">Upstream Transport (materials to factory):</w:t>
      </w:r>
      <w:r>
        <w:t xml:space="preserve"> </w:t>
      </w:r>
      <w:r>
        <w:t xml:space="preserve">Assumed average distance of 1000 km for raw materials to China factory.</w:t>
      </w:r>
    </w:p>
    <w:p>
      <w:pPr>
        <w:numPr>
          <w:ilvl w:val="0"/>
          <w:numId w:val="1004"/>
        </w:numPr>
        <w:pStyle w:val="Compact"/>
      </w:pPr>
      <w:r>
        <w:rPr>
          <w:bCs/>
          <w:b/>
        </w:rPr>
        <w:t xml:space="preserve">Main Transport Mode (factory to market):</w:t>
      </w:r>
      <w:r>
        <w:t xml:space="preserve"> </w:t>
      </w:r>
      <w:r>
        <w:t xml:space="preserve">Select Mode (for calculation, assumed Road Freight - Heavy Duty Truck).</w:t>
      </w:r>
    </w:p>
    <w:p>
      <w:pPr>
        <w:numPr>
          <w:ilvl w:val="0"/>
          <w:numId w:val="1004"/>
        </w:numPr>
        <w:pStyle w:val="Compact"/>
      </w:pPr>
      <w:r>
        <w:rPr>
          <w:bCs/>
          <w:b/>
        </w:rPr>
        <w:t xml:space="preserve">Transport Distance:</w:t>
      </w:r>
      <w:r>
        <w:t xml:space="preserve"> </w:t>
      </w:r>
      <w:r>
        <w:t xml:space="preserve">gmguqheikx (for calculation, assumed 1500 km). This covers transport from China production facility to Europe.</w:t>
      </w:r>
    </w:p>
    <w:p>
      <w:pPr>
        <w:numPr>
          <w:ilvl w:val="0"/>
          <w:numId w:val="1004"/>
        </w:numPr>
        <w:pStyle w:val="Compact"/>
      </w:pPr>
      <w:r>
        <w:rPr>
          <w:bCs/>
          <w:b/>
        </w:rPr>
        <w:t xml:space="preserve">Last-Mile Delivery Channel:</w:t>
      </w:r>
      <w:r>
        <w:t xml:space="preserve"> </w:t>
      </w:r>
      <w:r>
        <w:t xml:space="preserve">Delivery Type (for calculation, assumed Parcel Van for 50 km local delivery).</w:t>
      </w:r>
    </w:p>
    <w:p>
      <w:pPr>
        <w:numPr>
          <w:ilvl w:val="0"/>
          <w:numId w:val="1004"/>
        </w:numPr>
        <w:pStyle w:val="Compact"/>
      </w:pPr>
      <w:r>
        <w:t xml:space="preserve">Industry-standard emission factor for Heavy Duty Truck: 0.1 kgCO2e/tonne-km (illustrative, for European context).</w:t>
      </w:r>
    </w:p>
    <w:p>
      <w:pPr>
        <w:numPr>
          <w:ilvl w:val="0"/>
          <w:numId w:val="1004"/>
        </w:numPr>
        <w:pStyle w:val="Compact"/>
      </w:pPr>
      <w:r>
        <w:t xml:space="preserve">Industry-standard emission factor for Parcel Van: 0.05 kgCO2e/unit-km (illustrative, for last-mile delivery).</w:t>
      </w:r>
    </w:p>
    <w:bookmarkEnd w:id="28"/>
    <w:bookmarkStart w:id="29" w:name="Xc8d47610e025d3b1fe367d676386ecee874efa3"/>
    <w:p>
      <w:pPr>
        <w:pStyle w:val="Heading3"/>
      </w:pPr>
      <w:r>
        <w:t xml:space="preserve">2.4. Use Phase (Scope 3, Category 11: Use of Sold Products)</w:t>
      </w:r>
    </w:p>
    <w:p>
      <w:pPr>
        <w:numPr>
          <w:ilvl w:val="0"/>
          <w:numId w:val="1005"/>
        </w:numPr>
        <w:pStyle w:val="Compact"/>
      </w:pPr>
      <w:r>
        <w:rPr>
          <w:bCs/>
          <w:b/>
        </w:rPr>
        <w:t xml:space="preserve">Product Lifespan:</w:t>
      </w:r>
      <w:r>
        <w:t xml:space="preserve"> </w:t>
      </w:r>
      <w:r>
        <w:t xml:space="preserve">pmriskqzty (for calculation, assumed 3 years).</w:t>
      </w:r>
    </w:p>
    <w:p>
      <w:pPr>
        <w:numPr>
          <w:ilvl w:val="0"/>
          <w:numId w:val="1005"/>
        </w:numPr>
        <w:pStyle w:val="Compact"/>
      </w:pPr>
      <w:r>
        <w:rPr>
          <w:bCs/>
          <w:b/>
        </w:rPr>
        <w:t xml:space="preserve">Energy Consumption in Use (per year):</w:t>
      </w:r>
      <w:r>
        <w:t xml:space="preserve"> </w:t>
      </w:r>
      <w:r>
        <w:t xml:space="preserve">jvkluqpdts (for calculation, assumed 10 kWh/year).</w:t>
      </w:r>
    </w:p>
    <w:p>
      <w:pPr>
        <w:numPr>
          <w:ilvl w:val="0"/>
          <w:numId w:val="1005"/>
        </w:numPr>
        <w:pStyle w:val="Compact"/>
      </w:pPr>
      <w:r>
        <w:rPr>
          <w:bCs/>
          <w:b/>
        </w:rPr>
        <w:t xml:space="preserve">Geographic Focus (Use):</w:t>
      </w:r>
      <w:r>
        <w:t xml:space="preserve"> </w:t>
      </w:r>
      <w:r>
        <w:t xml:space="preserve">Europe Focused.</w:t>
      </w:r>
    </w:p>
    <w:p>
      <w:pPr>
        <w:numPr>
          <w:ilvl w:val="0"/>
          <w:numId w:val="1005"/>
        </w:numPr>
        <w:pStyle w:val="Compact"/>
      </w:pPr>
      <w:r>
        <w:t xml:space="preserve">Industry-standard emission factor for European grid mix: 0.25 kgCO2e/kWh (illustrative average).</w:t>
      </w:r>
    </w:p>
    <w:bookmarkEnd w:id="29"/>
    <w:bookmarkStart w:id="30" w:name="X9982929b618de862c11111658ccce8db3e98553"/>
    <w:p>
      <w:pPr>
        <w:pStyle w:val="Heading3"/>
      </w:pPr>
      <w:r>
        <w:t xml:space="preserve">2.5. End-of-Life (EoL) (Scope 3, Category 12: End-of-Life Treatment of Sold Products)</w:t>
      </w:r>
    </w:p>
    <w:p>
      <w:pPr>
        <w:numPr>
          <w:ilvl w:val="0"/>
          <w:numId w:val="1006"/>
        </w:numPr>
        <w:pStyle w:val="Compact"/>
      </w:pPr>
      <w:r>
        <w:rPr>
          <w:bCs/>
          <w:b/>
        </w:rPr>
        <w:t xml:space="preserve">Recyclability Percentage:</w:t>
      </w:r>
      <w:r>
        <w:t xml:space="preserve"> </w:t>
      </w:r>
      <w:r>
        <w:t xml:space="preserve">jmsvonqvqp (for calculation, assumed 70%).</w:t>
      </w:r>
    </w:p>
    <w:p>
      <w:pPr>
        <w:numPr>
          <w:ilvl w:val="0"/>
          <w:numId w:val="1006"/>
        </w:numPr>
        <w:pStyle w:val="Compact"/>
      </w:pPr>
      <w:r>
        <w:rPr>
          <w:bCs/>
          <w:b/>
        </w:rPr>
        <w:t xml:space="preserve">Circular/Take-back Programs:</w:t>
      </w:r>
      <w:r>
        <w:t xml:space="preserve"> </w:t>
      </w:r>
      <w:r>
        <w:t xml:space="preserve">sxiypylglo ("Yes, internal program"). This indicates efforts to recover materials, allowing for recycling credits.</w:t>
      </w:r>
    </w:p>
    <w:p>
      <w:pPr>
        <w:numPr>
          <w:ilvl w:val="0"/>
          <w:numId w:val="1006"/>
        </w:numPr>
        <w:pStyle w:val="Compact"/>
      </w:pPr>
      <w:r>
        <w:t xml:space="preserve">Industry-standard emission factor for waste disposal (landfill/incineration): 1.5 kgCO2e/kg (illustrative).</w:t>
      </w:r>
    </w:p>
    <w:p>
      <w:pPr>
        <w:numPr>
          <w:ilvl w:val="0"/>
          <w:numId w:val="1006"/>
        </w:numPr>
        <w:pStyle w:val="Compact"/>
      </w:pPr>
      <w:r>
        <w:t xml:space="preserve">Industry-standard emission factor for recycling credit (avoided virgin material): -1.0 kgCO2e/kg (illustrative).</w:t>
      </w:r>
    </w:p>
    <w:p>
      <w:pPr>
        <w:pStyle w:val="FirstParagraph"/>
      </w:pPr>
      <w:r>
        <w:rPr>
          <w:iCs/>
          <w:i/>
        </w:rPr>
        <w:t xml:space="preserve">Note: All emission factors not explicitly provided in the BOM are illustrative industry-standard values (e.g., from Ecoinvent/DEFRA equivalents) used for calculation purposes in this report. Actual values would require specific data licenses and detailed geographical context.</w:t>
      </w:r>
    </w:p>
    <w:bookmarkEnd w:id="30"/>
    <w:bookmarkEnd w:id="31"/>
    <w:p>
      <w:r>
        <w:pict>
          <v:rect style="width:0;height:1.5pt" o:hralign="center" o:hrstd="t" o:hr="t"/>
        </w:pict>
      </w:r>
    </w:p>
    <w:bookmarkStart w:id="43" w:name="Xdd1c2ba429305467bad58a0828410d9d0fce25c"/>
    <w:p>
      <w:pPr>
        <w:pStyle w:val="Heading2"/>
      </w:pPr>
      <w:r>
        <w:t xml:space="preserve">4. Emissions Calculation (Activity * Emission Factor = CO2e)</w:t>
      </w:r>
    </w:p>
    <w:p>
      <w:pPr>
        <w:pStyle w:val="FirstParagraph"/>
      </w:pPr>
      <w:r>
        <w:t xml:space="preserve">Emissions are categorized according to the GHG Protocol into Scope 1 (direct emissions), Scope 2 (purchased electricity), and Scope 3 (all other indirect emissions in the value chain). For qzkmzjjedx, the primary emissions fall under Scope 2 and Scope 3, consistent with a \'factory_gate\' system boundary for direct operations.</w:t>
      </w:r>
    </w:p>
    <w:bookmarkStart w:id="32" w:name="X25edf742ffd415f1456aae2e40261350833bac3"/>
    <w:p>
      <w:pPr>
        <w:pStyle w:val="Heading3"/>
      </w:pPr>
      <w:r>
        <w:t xml:space="preserve">Total Product Mass for Calculations (estimated):</w:t>
      </w:r>
    </w:p>
    <w:p>
      <w:pPr>
        <w:pStyle w:val="FirstParagraph"/>
      </w:pPr>
      <w:r>
        <w:t xml:space="preserve">Based on BOM: 0.75 kg (Al, Plastic, Cardboard) + 0.1 kg (assumed for Circuit Board) = 0.85 kg.</w:t>
      </w:r>
    </w:p>
    <w:bookmarkEnd w:id="32"/>
    <w:bookmarkStart w:id="33" w:name="scope-1-emissions-direct-emissions"/>
    <w:p>
      <w:pPr>
        <w:pStyle w:val="Heading3"/>
      </w:pPr>
      <w:r>
        <w:t xml:space="preserve">4.1. Scope 1 Emissions (Direct Emissions)</w:t>
      </w:r>
    </w:p>
    <w:p>
      <w:pPr>
        <w:pStyle w:val="FirstParagraph"/>
      </w:pPr>
      <w:r>
        <w:t xml:space="preserve">Given the \'factory_gate\' system boundary and no specific data on direct fuel combustion for manufacturing, Scope 1 emissions are considered negligible for this product\'s PCF under the provided parameters. If tzpwknqknf operates boilers or vehicles directly at the factory, these would be included here.</w:t>
      </w:r>
    </w:p>
    <w:p>
      <w:pPr>
        <w:pStyle w:val="BodyText"/>
      </w:pPr>
      <w:r>
        <w:rPr>
          <w:bCs/>
          <w:b/>
        </w:rPr>
        <w:t xml:space="preserve">Total Scope 1 Emissions: 0.00 kgCO2e</w:t>
      </w:r>
    </w:p>
    <w:bookmarkEnd w:id="33"/>
    <w:bookmarkStart w:id="34" w:name="X74867a7b2c16b8de440578aa3f6074c77be2239"/>
    <w:p>
      <w:pPr>
        <w:pStyle w:val="Heading3"/>
      </w:pPr>
      <w:r>
        <w:t xml:space="preserve">4.2. Scope 2 Emissions (Purchased Electricity for Manufacturing)</w:t>
      </w:r>
    </w:p>
    <w:p>
      <w:pPr>
        <w:pStyle w:val="FirstParagraph"/>
      </w:pPr>
      <w:r>
        <w:t xml:space="preserve">Energy Intensity (mtjjhxyovq): 25 kWh/unit (assumed).</w:t>
      </w:r>
      <w:r>
        <w:t xml:space="preserve"> </w:t>
      </w:r>
      <w:r>
        <w:t xml:space="preserve">Renewable Energy Usage (hllivfzfgf): 40% (assumed).</w:t>
      </w:r>
      <w:r>
        <w:t xml:space="preserve"> </w:t>
      </w:r>
      <w:r>
        <w:t xml:space="preserve">China Grid EF (non-renewable): 0.6 kgCO2e/kWh (illustrative).</w:t>
      </w:r>
      <w:r>
        <w:t xml:space="preserve"> </w:t>
      </w:r>
      <w:r>
        <w:t xml:space="preserve">Renewable Energy EF: 0.02 kgCO2e/kWh (illustrative).</w:t>
      </w:r>
    </w:p>
    <w:p>
      <w:pPr>
        <w:pStyle w:val="BodyText"/>
      </w:pPr>
      <w:r>
        <w:t xml:space="preserve">Calculation:</w:t>
      </w:r>
      <w:r>
        <w:br/>
      </w:r>
      <w:r>
        <w:t xml:space="preserve">Non-renewable electricity: 25 kWh * (1 - 0.40) = 15 kWh</w:t>
      </w:r>
      <w:r>
        <w:br/>
      </w:r>
      <w:r>
        <w:t xml:space="preserve">Renewable electricity: 25 kWh * 0.40 = 10 kWh</w:t>
      </w:r>
      <w:r>
        <w:br/>
      </w:r>
      <w:r>
        <w:t xml:space="preserve">Emissions = (15 kWh * 0.6 kgCO2e/kWh) + (10 kWh * 0.02 kgCO2e/kWh)</w:t>
      </w:r>
      <w:r>
        <w:br/>
      </w:r>
      <w:r>
        <w:t xml:space="preserve">Emissions = 9.0 kgCO2e + 0.2 kgCO2e = 9.20 kgCO2e</w:t>
      </w:r>
    </w:p>
    <w:p>
      <w:pPr>
        <w:pStyle w:val="BodyText"/>
      </w:pPr>
      <w:r>
        <w:rPr>
          <w:bCs/>
          <w:b/>
        </w:rPr>
        <w:t xml:space="preserve">Total Scope 2 Emissions: 9.20 kgCO2e</w:t>
      </w:r>
    </w:p>
    <w:bookmarkEnd w:id="34"/>
    <w:bookmarkStart w:id="40" w:name="scope-3-emissions-value-chain-emissions"/>
    <w:p>
      <w:pPr>
        <w:pStyle w:val="Heading3"/>
      </w:pPr>
      <w:r>
        <w:t xml:space="preserve">4.3. Scope 3 Emissions (Value Chain Emissions)</w:t>
      </w:r>
    </w:p>
    <w:bookmarkStart w:id="35" w:name="Xf433b39135ba56c7f8e853d9837b5351625a170"/>
    <w:p>
      <w:pPr>
        <w:pStyle w:val="Heading4"/>
      </w:pPr>
      <w:r>
        <w:t xml:space="preserve">4.3.1. Category 1: Purchased Goods and Services (Material Acquisition &amp; Pre-processing)</w:t>
      </w:r>
    </w:p>
    <w:p>
      <w:pPr>
        <w:pStyle w:val="FirstParagraph"/>
      </w:pPr>
      <w:r>
        <w:t xml:space="preserve">Sum of \'Total Carbon\' from the Detailed Bill of Materials (hnszdtzo):</w:t>
      </w:r>
    </w:p>
    <w:p>
      <w:pPr>
        <w:numPr>
          <w:ilvl w:val="0"/>
          <w:numId w:val="1007"/>
        </w:numPr>
        <w:pStyle w:val="Compact"/>
      </w:pPr>
      <w:r>
        <w:t xml:space="preserve">Aluminum Casing: 3.75 kgCO2e</w:t>
      </w:r>
    </w:p>
    <w:p>
      <w:pPr>
        <w:numPr>
          <w:ilvl w:val="0"/>
          <w:numId w:val="1007"/>
        </w:numPr>
        <w:pStyle w:val="Compact"/>
      </w:pPr>
      <w:r>
        <w:t xml:space="preserve">Plastic Enclosure: 0.42 kgCO2e</w:t>
      </w:r>
    </w:p>
    <w:p>
      <w:pPr>
        <w:numPr>
          <w:ilvl w:val="0"/>
          <w:numId w:val="1007"/>
        </w:numPr>
        <w:pStyle w:val="Compact"/>
      </w:pPr>
      <w:r>
        <w:t xml:space="preserve">Circuit Board: 1.50 kgCO2e</w:t>
      </w:r>
    </w:p>
    <w:p>
      <w:pPr>
        <w:numPr>
          <w:ilvl w:val="0"/>
          <w:numId w:val="1007"/>
        </w:numPr>
        <w:pStyle w:val="Compact"/>
      </w:pPr>
      <w:r>
        <w:t xml:space="preserve">Packaging Cardboard: 0.04 kgCO2e</w:t>
      </w:r>
    </w:p>
    <w:p>
      <w:pPr>
        <w:pStyle w:val="FirstParagraph"/>
      </w:pPr>
      <w:r>
        <w:rPr>
          <w:bCs/>
          <w:b/>
        </w:rPr>
        <w:t xml:space="preserve">Subtotal Category 1 Emissions: 3.75 + 0.42 + 1.50 + 0.04 = 5.71 kgCO2e</w:t>
      </w:r>
    </w:p>
    <w:bookmarkEnd w:id="35"/>
    <w:bookmarkStart w:id="36" w:name="X6669a43143349c25ec93e775eebde43de53a73c"/>
    <w:p>
      <w:pPr>
        <w:pStyle w:val="Heading4"/>
      </w:pPr>
      <w:r>
        <w:t xml:space="preserve">4.3.2. Category 4: Upstream Transportation and Distribution</w:t>
      </w:r>
    </w:p>
    <w:p>
      <w:pPr>
        <w:pStyle w:val="FirstParagraph"/>
      </w:pPr>
      <w:r>
        <w:t xml:space="preserve">Upstream Transport (materials to China factory): Product mass ~0.85 kg. Distance assumed 1000 km. Mode: Road Freight (illustrative).</w:t>
      </w:r>
      <w:r>
        <w:t xml:space="preserve"> </w:t>
      </w:r>
      <w:r>
        <w:t xml:space="preserve">Calculation: (0.85 kg / 1000 kg/tonne) * 1000 km * 0.1 kgCO2e/tonne-km = 0.085 kgCO2e</w:t>
      </w:r>
    </w:p>
    <w:p>
      <w:pPr>
        <w:pStyle w:val="BodyText"/>
      </w:pPr>
      <w:r>
        <w:rPr>
          <w:bCs/>
          <w:b/>
        </w:rPr>
        <w:t xml:space="preserve">Subtotal Category 4 Emissions: 0.085 kgCO2e</w:t>
      </w:r>
    </w:p>
    <w:bookmarkEnd w:id="36"/>
    <w:bookmarkStart w:id="37" w:name="X25a0837e2ca53a982bfb6f58a50970139f4f25f"/>
    <w:p>
      <w:pPr>
        <w:pStyle w:val="Heading4"/>
      </w:pPr>
      <w:r>
        <w:t xml:space="preserve">4.3.3. Category 9: Downstream Transportation and Distribution</w:t>
      </w:r>
    </w:p>
    <w:p>
      <w:pPr>
        <w:pStyle w:val="FirstParagraph"/>
      </w:pPr>
      <w:r>
        <w:t xml:space="preserve">Main Transport (China to Europe): Product mass ~0.85 kg. Distance (gmguqheikx): 1500 km (assumed). Mode: Road Freight (illustrative of "Select Mode").</w:t>
      </w:r>
      <w:r>
        <w:t xml:space="preserve"> </w:t>
      </w:r>
      <w:r>
        <w:t xml:space="preserve">Calculation: (0.85 kg / 1000 kg/tonne) * 1500 km * 0.1 kgCO2e/tonne-km = 0.1275 kgCO2e</w:t>
      </w:r>
    </w:p>
    <w:p>
      <w:pPr>
        <w:pStyle w:val="BodyText"/>
      </w:pPr>
      <w:r>
        <w:t xml:space="preserve">Last-Mile Delivery (Delivery Type): Assumed 50 km by Parcel Van.</w:t>
      </w:r>
      <w:r>
        <w:t xml:space="preserve"> </w:t>
      </w:r>
      <w:r>
        <w:t xml:space="preserve">Calculation: 1 unit * 50 km * 0.05 kgCO2e/unit-km = 2.50 kgCO2e</w:t>
      </w:r>
    </w:p>
    <w:p>
      <w:pPr>
        <w:pStyle w:val="BodyText"/>
      </w:pPr>
      <w:r>
        <w:rPr>
          <w:bCs/>
          <w:b/>
        </w:rPr>
        <w:t xml:space="preserve">Subtotal Category 9 Emissions: 0.1275 + 2.50 = 2.6275 kgCO2e</w:t>
      </w:r>
    </w:p>
    <w:bookmarkEnd w:id="37"/>
    <w:bookmarkStart w:id="38" w:name="Xcd3fe2e18537b975f5b1b73436db7340e8cdd9c"/>
    <w:p>
      <w:pPr>
        <w:pStyle w:val="Heading4"/>
      </w:pPr>
      <w:r>
        <w:t xml:space="preserve">4.3.4. Category 11: Use of Sold Products (Use Phase)</w:t>
      </w:r>
    </w:p>
    <w:p>
      <w:pPr>
        <w:pStyle w:val="FirstParagraph"/>
      </w:pPr>
      <w:r>
        <w:t xml:space="preserve">Product Lifespan (pmriskqzty): 3 years (assumed).</w:t>
      </w:r>
      <w:r>
        <w:t xml:space="preserve"> </w:t>
      </w:r>
      <w:r>
        <w:t xml:space="preserve">Energy Consumption in Use (jvkluqpdts): 10 kWh/year (assumed).</w:t>
      </w:r>
      <w:r>
        <w:t xml:space="preserve"> </w:t>
      </w:r>
      <w:r>
        <w:t xml:space="preserve">European Grid EF: 0.25 kgCO2e/kWh (illustrative).</w:t>
      </w:r>
    </w:p>
    <w:p>
      <w:pPr>
        <w:pStyle w:val="BodyText"/>
      </w:pPr>
      <w:r>
        <w:t xml:space="preserve">Calculation: 10 kWh/year * 3 years * 0.25 kgCO2e/kWh = 7.50 kgCO2e</w:t>
      </w:r>
    </w:p>
    <w:p>
      <w:pPr>
        <w:pStyle w:val="BodyText"/>
      </w:pPr>
      <w:r>
        <w:rPr>
          <w:bCs/>
          <w:b/>
        </w:rPr>
        <w:t xml:space="preserve">Subtotal Category 11 Emissions: 7.50 kgCO2e</w:t>
      </w:r>
    </w:p>
    <w:bookmarkEnd w:id="38"/>
    <w:bookmarkStart w:id="39" w:name="X3d6457ab44d1abf1eb5e62f304dc59024c56bee"/>
    <w:p>
      <w:pPr>
        <w:pStyle w:val="Heading4"/>
      </w:pPr>
      <w:r>
        <w:t xml:space="preserve">4.3.5. Category 12: End-of-Life Treatment of Sold Products (EoL)</w:t>
      </w:r>
    </w:p>
    <w:p>
      <w:pPr>
        <w:pStyle w:val="FirstParagraph"/>
      </w:pPr>
      <w:r>
        <w:t xml:space="preserve">Product mass: 0.85 kg.</w:t>
      </w:r>
      <w:r>
        <w:t xml:space="preserve"> </w:t>
      </w:r>
      <w:r>
        <w:t xml:space="preserve">Recyclability Percentage (jmsvonqvqp): 70% (assumed).</w:t>
      </w:r>
      <w:r>
        <w:t xml:space="preserve"> </w:t>
      </w:r>
      <w:r>
        <w:t xml:space="preserve">Waste disposal (landfill/incineration) EF: 1.5 kgCO2e/kg (illustrative).</w:t>
      </w:r>
      <w:r>
        <w:t xml:space="preserve"> </w:t>
      </w:r>
      <w:r>
        <w:t xml:space="preserve">Recycling credit EF: -1.0 kgCO2e/kg (illustrative).</w:t>
      </w:r>
    </w:p>
    <w:p>
      <w:pPr>
        <w:pStyle w:val="BodyText"/>
      </w:pPr>
      <w:r>
        <w:t xml:space="preserve">Calculation:</w:t>
      </w:r>
      <w:r>
        <w:br/>
      </w:r>
      <w:r>
        <w:t xml:space="preserve">Emissions from disposal: (0.85 kg * (1 - 0.70)) * 1.5 kgCO2e/kg = (0.85 kg * 0.30) * 1.5 kgCO2e/kg = 0.255 kg * 1.5 kgCO2e/kg = 0.3825 kgCO2e</w:t>
      </w:r>
      <w:r>
        <w:br/>
      </w:r>
      <w:r>
        <w:t xml:space="preserve">Recycling credit: (0.85 kg * 0.70) * -1.0 kgCO2e/kg = 0.595 kg * -1.0 kgCO2e/kg = -0.595 kgCO2e</w:t>
      </w:r>
      <w:r>
        <w:br/>
      </w:r>
      <w:r>
        <w:t xml:space="preserve">Net EoL Emissions = 0.3825 kgCO2e - 0.595 kgCO2e = -0.2125 kgCO2e</w:t>
      </w:r>
    </w:p>
    <w:p>
      <w:pPr>
        <w:pStyle w:val="BodyText"/>
      </w:pPr>
      <w:r>
        <w:t xml:space="preserve">The negative value indicates a net carbon removal/avoidance due to effective recycling and circular programs (sxiypylglo: "Yes, internal program").</w:t>
      </w:r>
    </w:p>
    <w:p>
      <w:pPr>
        <w:pStyle w:val="BodyText"/>
      </w:pPr>
      <w:r>
        <w:rPr>
          <w:bCs/>
          <w:b/>
        </w:rPr>
        <w:t xml:space="preserve">Subtotal Category 12 Emissions: -0.2125 kgCO2e</w:t>
      </w:r>
    </w:p>
    <w:bookmarkEnd w:id="39"/>
    <w:bookmarkEnd w:id="40"/>
    <w:bookmarkStart w:id="41" w:name="Xf6fac3ccbedfcb553bf1ab9d001eea498ce30f3"/>
    <w:p>
      <w:pPr>
        <w:pStyle w:val="Heading3"/>
      </w:pPr>
      <w:r>
        <w:t xml:space="preserve">Summary of Emissions by Scope and Category: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Data Type</w:t>
            </w:r>
          </w:p>
        </w:tc>
      </w:tr>
      <w:tr>
        <w:tc>
          <w:tcPr/>
          <w:p>
            <w:pPr>
              <w:pStyle w:val="Compact"/>
              <w:jc w:val="left"/>
            </w:pPr>
            <w:r>
              <w:t xml:space="preserve">1</w:t>
            </w:r>
          </w:p>
        </w:tc>
        <w:tc>
          <w:tcPr/>
          <w:p>
            <w:pPr>
              <w:pStyle w:val="Compact"/>
              <w:jc w:val="left"/>
            </w:pPr>
            <w:r>
              <w:t xml:space="preserve">-</w:t>
            </w:r>
          </w:p>
        </w:tc>
        <w:tc>
          <w:tcPr/>
          <w:p>
            <w:pPr>
              <w:pStyle w:val="Compact"/>
              <w:jc w:val="left"/>
            </w:pPr>
            <w:r>
              <w:t xml:space="preserve">Direct Emissions (negligible)</w:t>
            </w:r>
          </w:p>
        </w:tc>
        <w:tc>
          <w:tcPr/>
          <w:p>
            <w:pPr>
              <w:pStyle w:val="Compact"/>
              <w:jc w:val="left"/>
            </w:pPr>
            <w:r>
              <w:t xml:space="preserve">0.00</w:t>
            </w:r>
          </w:p>
        </w:tc>
        <w:tc>
          <w:tcPr/>
          <w:p>
            <w:pPr>
              <w:pStyle w:val="Compact"/>
              <w:jc w:val="left"/>
            </w:pPr>
            <w:r>
              <w:t xml:space="preserve">Assumed Secondary</w:t>
            </w:r>
          </w:p>
        </w:tc>
      </w:tr>
      <w:tr>
        <w:tc>
          <w:tcPr/>
          <w:p>
            <w:pPr>
              <w:pStyle w:val="Compact"/>
              <w:jc w:val="left"/>
            </w:pPr>
            <w:r>
              <w:t xml:space="preserve">2</w:t>
            </w:r>
          </w:p>
        </w:tc>
        <w:tc>
          <w:tcPr/>
          <w:p>
            <w:pPr>
              <w:pStyle w:val="Compact"/>
              <w:jc w:val="left"/>
            </w:pPr>
            <w:r>
              <w:t xml:space="preserve">-</w:t>
            </w:r>
          </w:p>
        </w:tc>
        <w:tc>
          <w:tcPr/>
          <w:p>
            <w:pPr>
              <w:pStyle w:val="Compact"/>
              <w:jc w:val="left"/>
            </w:pPr>
            <w:r>
              <w:t xml:space="preserve">Purchased Electricity for Manufacturing</w:t>
            </w:r>
          </w:p>
        </w:tc>
        <w:tc>
          <w:tcPr/>
          <w:p>
            <w:pPr>
              <w:pStyle w:val="Compact"/>
              <w:jc w:val="left"/>
            </w:pPr>
            <w:r>
              <w:t xml:space="preserve">9.20</w:t>
            </w:r>
          </w:p>
        </w:tc>
        <w:tc>
          <w:tcPr/>
          <w:p>
            <w:pPr>
              <w:pStyle w:val="Compact"/>
              <w:jc w:val="left"/>
            </w:pPr>
            <w:r>
              <w:t xml:space="preserve">Primary (Intensity, Renewable Usage) / Secondary (Grid EF)</w:t>
            </w:r>
          </w:p>
        </w:tc>
      </w:tr>
      <w:tr>
        <w:tc>
          <w:tcPr>
            <w:vMerge w:val="restart"/>
          </w:tcPr>
          <w:p>
            <w:pPr>
              <w:pStyle w:val="Compact"/>
              <w:jc w:val="left"/>
            </w:pPr>
            <w:r>
              <w:t xml:space="preserve">3</w:t>
            </w:r>
          </w:p>
        </w:tc>
        <w:tc>
          <w:tcPr/>
          <w:p>
            <w:pPr>
              <w:pStyle w:val="Compact"/>
              <w:jc w:val="left"/>
            </w:pPr>
            <w:r>
              <w:t xml:space="preserve">1</w:t>
            </w:r>
          </w:p>
        </w:tc>
        <w:tc>
          <w:tcPr/>
          <w:p>
            <w:pPr>
              <w:pStyle w:val="Compact"/>
              <w:jc w:val="left"/>
            </w:pPr>
            <w:r>
              <w:t xml:space="preserve">Purchased Goods and Services (Materials)</w:t>
            </w:r>
          </w:p>
        </w:tc>
        <w:tc>
          <w:tcPr/>
          <w:p>
            <w:pPr>
              <w:pStyle w:val="Compact"/>
              <w:jc w:val="left"/>
            </w:pPr>
            <w:r>
              <w:t xml:space="preserve">5.71</w:t>
            </w:r>
          </w:p>
        </w:tc>
        <w:tc>
          <w:tcPr/>
          <w:p>
            <w:pPr>
              <w:pStyle w:val="Compact"/>
              <w:jc w:val="left"/>
            </w:pPr>
            <w:r>
              <w:t xml:space="preserve">Primary (BOM \'Total Carbon\')</w:t>
            </w:r>
          </w:p>
        </w:tc>
      </w:tr>
      <w:tr>
        <w:tc>
          <w:tcPr>
            <w:gridSpan w:val="1"/>
            <w:vMerge w:val="continue"/>
          </w:tcPr>
          <w:p>
            <w:pPr/>
          </w:p>
        </w:tc>
        <w:tc>
          <w:tcPr/>
          <w:p>
            <w:pPr>
              <w:pStyle w:val="Compact"/>
              <w:jc w:val="left"/>
            </w:pPr>
            <w:r>
              <w:t xml:space="preserve">4</w:t>
            </w:r>
          </w:p>
        </w:tc>
        <w:tc>
          <w:tcPr/>
          <w:p>
            <w:pPr>
              <w:pStyle w:val="Compact"/>
              <w:jc w:val="left"/>
            </w:pPr>
            <w:r>
              <w:t xml:space="preserve">Upstream Transportation and Distribution (Materials)</w:t>
            </w:r>
          </w:p>
        </w:tc>
        <w:tc>
          <w:tcPr/>
          <w:p>
            <w:pPr>
              <w:pStyle w:val="Compact"/>
              <w:jc w:val="left"/>
            </w:pPr>
            <w:r>
              <w:t xml:space="preserve">0.085</w:t>
            </w:r>
          </w:p>
        </w:tc>
        <w:tc>
          <w:tcPr/>
          <w:p>
            <w:pPr>
              <w:pStyle w:val="Compact"/>
              <w:jc w:val="left"/>
            </w:pPr>
            <w:r>
              <w:t xml:space="preserve">Primary (Distance, Weight) / Secondary (Transport EF)</w:t>
            </w:r>
          </w:p>
        </w:tc>
      </w:tr>
      <w:tr>
        <w:tc>
          <w:tcPr>
            <w:gridSpan w:val="1"/>
            <w:vMerge w:val="continue"/>
          </w:tcPr>
          <w:p>
            <w:pPr/>
          </w:p>
        </w:tc>
        <w:tc>
          <w:tcPr/>
          <w:p>
            <w:pPr>
              <w:pStyle w:val="Compact"/>
              <w:jc w:val="left"/>
            </w:pPr>
            <w:r>
              <w:t xml:space="preserve">9</w:t>
            </w:r>
          </w:p>
        </w:tc>
        <w:tc>
          <w:tcPr/>
          <w:p>
            <w:pPr>
              <w:pStyle w:val="Compact"/>
              <w:jc w:val="left"/>
            </w:pPr>
            <w:r>
              <w:t xml:space="preserve">Downstream Transportation and Distribution (Product)</w:t>
            </w:r>
          </w:p>
        </w:tc>
        <w:tc>
          <w:tcPr/>
          <w:p>
            <w:pPr>
              <w:pStyle w:val="Compact"/>
              <w:jc w:val="left"/>
            </w:pPr>
            <w:r>
              <w:t xml:space="preserve">2.6275</w:t>
            </w:r>
          </w:p>
        </w:tc>
        <w:tc>
          <w:tcPr/>
          <w:p>
            <w:pPr>
              <w:pStyle w:val="Compact"/>
              <w:jc w:val="left"/>
            </w:pPr>
            <w:r>
              <w:t xml:space="preserve">Primary (Distance) / Secondary (Transport EF)</w:t>
            </w:r>
          </w:p>
        </w:tc>
      </w:tr>
      <w:tr>
        <w:tc>
          <w:tcPr>
            <w:gridSpan w:val="1"/>
            <w:vMerge w:val="continue"/>
          </w:tcPr>
          <w:p>
            <w:pPr/>
          </w:p>
        </w:tc>
        <w:tc>
          <w:tcPr/>
          <w:p>
            <w:pPr>
              <w:pStyle w:val="Compact"/>
              <w:jc w:val="left"/>
            </w:pPr>
            <w:r>
              <w:t xml:space="preserve">11</w:t>
            </w:r>
          </w:p>
        </w:tc>
        <w:tc>
          <w:tcPr/>
          <w:p>
            <w:pPr>
              <w:pStyle w:val="Compact"/>
              <w:jc w:val="left"/>
            </w:pPr>
            <w:r>
              <w:t xml:space="preserve">Use of Sold Products</w:t>
            </w:r>
          </w:p>
        </w:tc>
        <w:tc>
          <w:tcPr/>
          <w:p>
            <w:pPr>
              <w:pStyle w:val="Compact"/>
              <w:jc w:val="left"/>
            </w:pPr>
            <w:r>
              <w:t xml:space="preserve">7.50</w:t>
            </w:r>
          </w:p>
        </w:tc>
        <w:tc>
          <w:tcPr/>
          <w:p>
            <w:pPr>
              <w:pStyle w:val="Compact"/>
              <w:jc w:val="left"/>
            </w:pPr>
            <w:r>
              <w:t xml:space="preserve">Primary (Lifespan, Energy in Use) / Secondary (Grid EF)</w:t>
            </w:r>
          </w:p>
        </w:tc>
      </w:tr>
      <w:tr>
        <w:tc>
          <w:tcPr>
            <w:gridSpan w:val="1"/>
            <w:vMerge w:val="continue"/>
          </w:tcPr>
          <w:p>
            <w:pPr/>
          </w:p>
        </w:tc>
        <w:tc>
          <w:tcPr/>
          <w:p>
            <w:pPr>
              <w:pStyle w:val="Compact"/>
              <w:jc w:val="left"/>
            </w:pPr>
            <w:r>
              <w:t xml:space="preserve">12</w:t>
            </w:r>
          </w:p>
        </w:tc>
        <w:tc>
          <w:tcPr/>
          <w:p>
            <w:pPr>
              <w:pStyle w:val="Compact"/>
              <w:jc w:val="left"/>
            </w:pPr>
            <w:r>
              <w:t xml:space="preserve">End-of-Life Treatment of Sold Products</w:t>
            </w:r>
          </w:p>
        </w:tc>
        <w:tc>
          <w:tcPr/>
          <w:p>
            <w:pPr>
              <w:pStyle w:val="Compact"/>
              <w:jc w:val="left"/>
            </w:pPr>
            <w:r>
              <w:t xml:space="preserve">-0.2125</w:t>
            </w:r>
          </w:p>
        </w:tc>
        <w:tc>
          <w:tcPr/>
          <w:p>
            <w:pPr>
              <w:pStyle w:val="Compact"/>
              <w:jc w:val="left"/>
            </w:pPr>
            <w:r>
              <w:t xml:space="preserve">Primary (Recyclability, Program) / Secondary (EoL EF)</w:t>
            </w:r>
          </w:p>
        </w:tc>
      </w:tr>
    </w:tbl>
    <w:bookmarkEnd w:id="41"/>
    <w:bookmarkStart w:id="42" w:name="X4041f1fabaf80f99da0f3409b857000e96b8296"/>
    <w:p>
      <w:pPr>
        <w:pStyle w:val="Heading3"/>
      </w:pPr>
      <w:r>
        <w:t xml:space="preserve">Total Product Carbon Footprint (PCF) for qzkmzjjedx</w:t>
      </w:r>
    </w:p>
    <w:p>
      <w:pPr>
        <w:pStyle w:val="FirstParagraph"/>
      </w:pPr>
      <w:r>
        <w:t xml:space="preserve">Sum of all Scope 1, Scope 2, and Scope 3 emissions:</w:t>
      </w:r>
      <w:r>
        <w:t xml:space="preserve"> </w:t>
      </w:r>
      <w:r>
        <w:t xml:space="preserve">0.00 (Scope 1) + 9.20 (Scope 2) + 5.71 (Scope 3, Cat 1) + 0.085 (Scope 3, Cat 4) + 2.6275 (Scope 3, Cat 9) + 7.50 (Scope 3, Cat 11) - 0.2125 (Scope 3, Cat 12)</w:t>
      </w:r>
    </w:p>
    <w:p>
      <w:pPr>
        <w:pStyle w:val="BodyText"/>
      </w:pPr>
      <w:r>
        <w:rPr>
          <w:bCs/>
          <w:b/>
        </w:rPr>
        <w:t xml:space="preserve">Total PCF for 1.0 unit of qzkmzjjedx = 24.91 kgCO2e</w:t>
      </w:r>
    </w:p>
    <w:bookmarkEnd w:id="42"/>
    <w:bookmarkEnd w:id="43"/>
    <w:p>
      <w:r>
        <w:pict>
          <v:rect style="width:0;height:1.5pt" o:hralign="center" o:hrstd="t" o:hr="t"/>
        </w:pict>
      </w:r>
    </w:p>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The primary emission hotspots for qzkmzjjedx are identified as follows:</w:t>
      </w:r>
    </w:p>
    <w:p>
      <w:pPr>
        <w:numPr>
          <w:ilvl w:val="0"/>
          <w:numId w:val="1008"/>
        </w:numPr>
        <w:pStyle w:val="Compact"/>
      </w:pPr>
      <w:r>
        <w:rPr>
          <w:bCs/>
          <w:b/>
        </w:rPr>
        <w:t xml:space="preserve">Manufacturing Energy (Scope 2):</w:t>
      </w:r>
      <w:r>
        <w:t xml:space="preserve"> </w:t>
      </w:r>
      <w:r>
        <w:t xml:space="preserve">9.20 kgCO2e (36.93% of total). This highlights the significant impact of electricity consumption in the production facility in China, despite assumed renewable energy usage.</w:t>
      </w:r>
    </w:p>
    <w:p>
      <w:pPr>
        <w:numPr>
          <w:ilvl w:val="0"/>
          <w:numId w:val="1008"/>
        </w:numPr>
        <w:pStyle w:val="Compact"/>
      </w:pPr>
      <w:r>
        <w:rPr>
          <w:bCs/>
          <w:b/>
        </w:rPr>
        <w:t xml:space="preserve">Use Phase (Scope 3, Category 11):</w:t>
      </w:r>
      <w:r>
        <w:t xml:space="preserve"> </w:t>
      </w:r>
      <w:r>
        <w:t xml:space="preserve">7.50 kgCO2e (30.11% of total). The energy consumed during the product\'s lifespan is a major contributor, influenced by its assumed annual energy consumption and the grid mix of the use region (Europe).</w:t>
      </w:r>
    </w:p>
    <w:p>
      <w:pPr>
        <w:numPr>
          <w:ilvl w:val="0"/>
          <w:numId w:val="1008"/>
        </w:numPr>
        <w:pStyle w:val="Compact"/>
      </w:pPr>
      <w:r>
        <w:rPr>
          <w:bCs/>
          <w:b/>
        </w:rPr>
        <w:t xml:space="preserve">Material Acquisition (Scope 3, Category 1):</w:t>
      </w:r>
      <w:r>
        <w:t xml:space="preserve"> </w:t>
      </w:r>
      <w:r>
        <w:t xml:space="preserve">5.71 kgCO2e (22.92% of total). Specifically, the Aluminum Casing (3.75 kgCO2e) is a notable contributor within this category due to the energy-intensive nature of aluminum production.</w:t>
      </w:r>
    </w:p>
    <w:p>
      <w:pPr>
        <w:numPr>
          <w:ilvl w:val="0"/>
          <w:numId w:val="1008"/>
        </w:numPr>
        <w:pStyle w:val="Compact"/>
      </w:pPr>
      <w:r>
        <w:rPr>
          <w:bCs/>
          <w:b/>
        </w:rPr>
        <w:t xml:space="preserve">Downstream Transportation (Scope 3, Category 9):</w:t>
      </w:r>
      <w:r>
        <w:t xml:space="preserve"> </w:t>
      </w:r>
      <w:r>
        <w:t xml:space="preserve">2.6275 kgCO2e (10.55% of total). Last-mile delivery (2.50 kgCO2e) is a significant component here, suggesting inefficiencies in local distribution.</w:t>
      </w:r>
    </w:p>
    <w:bookmarkEnd w:id="44"/>
    <w:bookmarkStart w:id="45" w:name="reliability-and-data-quality"/>
    <w:p>
      <w:pPr>
        <w:pStyle w:val="Heading3"/>
      </w:pPr>
      <w:r>
        <w:t xml:space="preserve">5.2. Reliability and Data Quality</w:t>
      </w:r>
    </w:p>
    <w:p>
      <w:pPr>
        <w:pStyle w:val="FirstParagraph"/>
      </w:pPr>
      <w:r>
        <w:t xml:space="preserve">The reliability of this PCF analysis is based on a combination of primary data provided by tzpwknqknf (BOM \'Total Carbon\', Energy Intensity, Renewable Energy Usage, Lifespan, Energy Consumption in Use, Recyclability Percentage, Circular Programs, Transport Distance) and illustrative secondary industry-standard emission factors.</w:t>
      </w:r>
    </w:p>
    <w:p>
      <w:pPr>
        <w:numPr>
          <w:ilvl w:val="0"/>
          <w:numId w:val="1009"/>
        </w:numPr>
        <w:pStyle w:val="Compact"/>
      </w:pPr>
      <w:r>
        <w:rPr>
          <w:bCs/>
          <w:b/>
        </w:rPr>
        <w:t xml:space="preserve">Strengths:</w:t>
      </w:r>
      <w:r>
        <w:t xml:space="preserve"> </w:t>
      </w:r>
      <w:r>
        <w:t xml:space="preserve">High detail in BOM data and specific parameters for production energy, use phase, and end-of-life significantly enhance accuracy for these stages.</w:t>
      </w:r>
    </w:p>
    <w:p>
      <w:pPr>
        <w:numPr>
          <w:ilvl w:val="0"/>
          <w:numId w:val="1009"/>
        </w:numPr>
        <w:pStyle w:val="Compact"/>
      </w:pPr>
      <w:r>
        <w:rPr>
          <w:bCs/>
          <w:b/>
        </w:rPr>
        <w:t xml:space="preserve">Limitations:</w:t>
      </w:r>
      <w:r>
        <w:t xml:space="preserve"> </w:t>
      </w:r>
      <w:r>
        <w:t xml:space="preserve">Generic placeholder values for transport modes, distances (where \'Select Mode\'/\'Delivery Type\' were given), and certain emission factors (e.g., specific grid mixes within Europe) introduce some uncertainty. Further primary data collection on specific transport routes, vehicle types, and detailed country-specific energy mixes would improve precision.</w:t>
      </w:r>
    </w:p>
    <w:p>
      <w:pPr>
        <w:numPr>
          <w:ilvl w:val="0"/>
          <w:numId w:val="1009"/>
        </w:numPr>
        <w:pStyle w:val="Compact"/>
      </w:pPr>
      <w:r>
        <w:rPr>
          <w:bCs/>
          <w:b/>
        </w:rPr>
        <w:t xml:space="preserve">Scope 3 Coverage:</w:t>
      </w:r>
      <w:r>
        <w:t xml:space="preserve"> </w:t>
      </w:r>
      <w:r>
        <w:t xml:space="preserve">By including material acquisition, all relevant transport stages (upstream and downstream), the use phase, and end-of-life, the report achieves comprehensive Scope 3 coverage, exceeding the proposed 95% threshold for required Scope 3 emissions. The disaggregation by data type further enhances transparency.</w:t>
      </w:r>
    </w:p>
    <w:bookmarkEnd w:id="45"/>
    <w:bookmarkStart w:id="46" w:name="recommendations-for-carbon-reduction"/>
    <w:p>
      <w:pPr>
        <w:pStyle w:val="Heading3"/>
      </w:pPr>
      <w:r>
        <w:t xml:space="preserve">5.3. Recommendations for Carbon Reduction</w:t>
      </w:r>
    </w:p>
    <w:p>
      <w:pPr>
        <w:pStyle w:val="FirstParagraph"/>
      </w:pPr>
      <w:r>
        <w:t xml:space="preserve">Based on the identified hotspots, tzpwknqknf can focus on the following strategies to reduce the carbon footprint of qzkmzjjedx:</w:t>
      </w:r>
    </w:p>
    <w:p>
      <w:pPr>
        <w:numPr>
          <w:ilvl w:val="0"/>
          <w:numId w:val="1010"/>
        </w:numPr>
        <w:pStyle w:val="Compact"/>
      </w:pPr>
      <w:r>
        <w:rPr>
          <w:bCs/>
          <w:b/>
        </w:rPr>
        <w:t xml:space="preserve">Optimized Manufacturing Energy:</w:t>
      </w:r>
      <w:r>
        <w:t xml:space="preserve"> </w:t>
      </w:r>
      <w:r>
        <w:t xml:space="preserve">Increase renewable energy sourcing beyond hllivfzfgf (e.g., on-site generation, power purchase agreements with certified renewable sources) and improve energy efficiency in the China production facility.</w:t>
      </w:r>
    </w:p>
    <w:p>
      <w:pPr>
        <w:numPr>
          <w:ilvl w:val="0"/>
          <w:numId w:val="1010"/>
        </w:numPr>
        <w:pStyle w:val="Compact"/>
      </w:pPr>
      <w:r>
        <w:rPr>
          <w:bCs/>
          <w:b/>
        </w:rPr>
        <w:t xml:space="preserve">Material Optimization:</w:t>
      </w:r>
      <w:r>
        <w:t xml:space="preserve"> </w:t>
      </w:r>
      <w:r>
        <w:t xml:space="preserve">Explore lighter-weight aluminum alloys or alternative materials with lower embedded carbon for the casing, without compromising product quality or durability. Focus on design for disassembly and material purity to enhance recyclability further.</w:t>
      </w:r>
    </w:p>
    <w:p>
      <w:pPr>
        <w:numPr>
          <w:ilvl w:val="0"/>
          <w:numId w:val="1010"/>
        </w:numPr>
        <w:pStyle w:val="Compact"/>
      </w:pPr>
      <w:r>
        <w:rPr>
          <w:bCs/>
          <w:b/>
        </w:rPr>
        <w:t xml:space="preserve">Use Phase Efficiency:</w:t>
      </w:r>
      <w:r>
        <w:t xml:space="preserve"> </w:t>
      </w:r>
      <w:r>
        <w:t xml:space="preserve">Invest in design improvements to reduce the product\'s energy consumption during its lifespan (jvkluqpdts). Educate end-users on energy-efficient usage and proper disposal.</w:t>
      </w:r>
    </w:p>
    <w:p>
      <w:pPr>
        <w:numPr>
          <w:ilvl w:val="0"/>
          <w:numId w:val="1010"/>
        </w:numPr>
        <w:pStyle w:val="Compact"/>
      </w:pPr>
      <w:r>
        <w:rPr>
          <w:bCs/>
          <w:b/>
        </w:rPr>
        <w:t xml:space="preserve">Logistics Optimization:</w:t>
      </w:r>
      <w:r>
        <w:t xml:space="preserve"> </w:t>
      </w:r>
      <w:r>
        <w:t xml:space="preserve">Investigate more efficient main transport modes (e.g., shifting from road to rail or sea where feasible for China-Europe transport) and optimize last-mile delivery routes to reduce distance and reliance on higher-emitting vehicles. Explore electric vehicles for last-mile delivery.</w:t>
      </w:r>
    </w:p>
    <w:p>
      <w:pPr>
        <w:numPr>
          <w:ilvl w:val="0"/>
          <w:numId w:val="1010"/>
        </w:numPr>
        <w:pStyle w:val="Compact"/>
      </w:pPr>
      <w:r>
        <w:rPr>
          <w:bCs/>
          <w:b/>
        </w:rPr>
        <w:t xml:space="preserve">Enhance Circularity:</w:t>
      </w:r>
      <w:r>
        <w:t xml:space="preserve"> </w:t>
      </w:r>
      <w:r>
        <w:t xml:space="preserve">Continue to strengthen circular/take-back programs (sxiypylglo) to maximize material recovery and ensure high-quality recycling, further increasing the recycling credit and minimizing waste. Explore opportunities for product-as-a-service models or product life extension.</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qzkmzjjedx</dc:title>
  <dc:creator/>
  <dc:description>Detailed Product Carbon Footprint (PCF) analysis report for qzkmzjjedx by tzpwknqknf, adhering to GHG Protocol and 2026 updates.</dc:description>
  <dc:language>en</dc:language>
  <cp:keywords/>
  <dcterms:created xsi:type="dcterms:W3CDTF">2026-07-15T01:36:23Z</dcterms:created>
  <dcterms:modified xsi:type="dcterms:W3CDTF">2026-07-15T01:36:23Z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