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qytuynihwf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emynwjjxmr</w:t>
      </w:r>
    </w:p>
    <w:p>
      <w:pPr>
        <w:pStyle w:val="BodyText"/>
      </w:pPr>
      <w:r>
        <w:t xml:space="preserve">Product: qytuynihwf</w:t>
      </w:r>
    </w:p>
    <w:p>
      <w:pPr>
        <w:pStyle w:val="BodyText"/>
      </w:pPr>
      <w:r>
        <w:t xml:space="preserve">Prepared by: ksywnsyoop, Senior Sustainability Consultant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Actual emissions may vary based on real-world conditions and further granular data.</w:t>
      </w:r>
    </w:p>
    <w:bookmarkEnd w:id="20"/>
    <w:bookmarkStart w:id="53" w:name="Xc2600004a8c54aa0e579625b53f7e9e20382a55"/>
    <w:p>
      <w:pPr>
        <w:pStyle w:val="Heading1"/>
      </w:pPr>
      <w:r>
        <w:t xml:space="preserve">Product Carbon Footprint (PCF) Analysis for qytuynihwf</w:t>
      </w:r>
    </w:p>
    <w:p>
      <w:pPr>
        <w:pStyle w:val="FirstParagraph"/>
      </w:pPr>
      <w:r>
        <w:rPr>
          <w:iCs/>
          <w:i/>
        </w:rPr>
        <w:t xml:space="preserve">Generated Date: 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qytuynihwf</w:t>
      </w:r>
      <w:r>
        <w:t xml:space="preserve">, manufactured by</w:t>
      </w:r>
      <w:r>
        <w:t xml:space="preserve"> </w:t>
      </w:r>
      <w:r>
        <w:rPr>
          <w:bCs/>
          <w:b/>
        </w:rPr>
        <w:t xml:space="preserve">emynwjjxmr</w:t>
      </w:r>
      <w:r>
        <w:t xml:space="preserve">. The analysis, conducted by</w:t>
      </w:r>
      <w:r>
        <w:t xml:space="preserve"> </w:t>
      </w:r>
      <w:r>
        <w:rPr>
          <w:bCs/>
          <w:b/>
        </w:rPr>
        <w:t xml:space="preserve">ksywnsyoop</w:t>
      </w:r>
      <w:r>
        <w:t xml:space="preserve">, Senior Sustainability Consultant, adheres strictly to the GHG Protocol accounting standard, incorporating the latest 2026 Land Sector and Removals (LSR) Standard update and aiming for at least 95% Scope 3 coverage. The assessment provides a cradle-to-grave perspective, detailing emissions across material acquisition, manufacturing, transport, use, and end-of-life stages. This report serves to identify primary carbon hotspots and guide strategic interventions for emission reduction.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qytuynihwf</w:t>
      </w:r>
      <w:r>
        <w:t xml:space="preserve"> </w:t>
      </w:r>
      <w:r>
        <w:t xml:space="preserve">follows a five-step methodology based on the GHG Protocol Product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qytuynihwf</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While the primary manufacturing process boundary is defined as</w:t>
      </w:r>
      <w:r>
        <w:t xml:space="preserve"> </w:t>
      </w:r>
      <w:r>
        <w:rPr>
          <w:bCs/>
          <w:b/>
        </w:rPr>
        <w:t xml:space="preserve">factory_gate</w:t>
      </w:r>
      <w:r>
        <w:t xml:space="preserve">, this analysis extends to a cradle-to-grave scope to meet the comprehensive reporting requirements, including downstream emissions from the Use Phase and End-of-Life scenarios. Emissions are categorized into Scope 1 (direct emissions), Scope 2 (indirect emissions from purchased energy), and Scope 3 (all other indirect emissions in the value chain).</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 Product Standard</w:t>
      </w:r>
      <w:r>
        <w:t xml:space="preserve">. Special attention has been given to the</w:t>
      </w:r>
      <w:r>
        <w:t xml:space="preserve"> </w:t>
      </w:r>
      <w:r>
        <w:rPr>
          <w:bCs/>
          <w:b/>
        </w:rPr>
        <w:t xml:space="preserve">2026 Land Sector and Removals (LSR) Standard update</w:t>
      </w:r>
      <w:r>
        <w:t xml:space="preserve"> </w:t>
      </w:r>
      <w:r>
        <w:t xml:space="preserve">for the inclusion of land use and carbon removal impacts, and a stringent target of at least</w:t>
      </w:r>
      <w:r>
        <w:t xml:space="preserve"> </w:t>
      </w:r>
      <w:r>
        <w:rPr>
          <w:bCs/>
          <w:b/>
        </w:rPr>
        <w:t xml:space="preserve">95% coverage for Scope 3 reporting</w:t>
      </w:r>
      <w:r>
        <w:t xml:space="preserve"> </w:t>
      </w:r>
      <w:r>
        <w:t xml:space="preserve">has been maintained to meet 2026 compliance requirements.</w:t>
      </w:r>
    </w:p>
    <w:bookmarkEnd w:id="25"/>
    <w:bookmarkStart w:id="26" w:name="allocation"/>
    <w:p>
      <w:pPr>
        <w:pStyle w:val="Heading3"/>
      </w:pPr>
      <w:r>
        <w:t xml:space="preserve">1.5. Allocation</w:t>
      </w:r>
    </w:p>
    <w:p>
      <w:pPr>
        <w:pStyle w:val="FirstParagraph"/>
      </w:pPr>
      <w:r>
        <w:t xml:space="preserve">Allocation of emissions for co-products or multi-functional processes, if applicable, would be performed based on established GHG Protocol guidelines, typically using physical or economic allocation methods. For this product, direct attribution is assumed where possible.</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qytuynihwf</w:t>
      </w:r>
      <w:r>
        <w:t xml:space="preserve"> </w:t>
      </w:r>
      <w:r>
        <w:t xml:space="preserve">is mapped across five key stages, each contributing to the overall carbon footprint. A detailed Life Cycle Inventory (LCI) is compiled for each stage to quantify material and energy flows, and associated emissions.</w:t>
      </w:r>
    </w:p>
    <w:bookmarkStart w:id="28" w:name="Xa124a95b981c370289279a4b723120ad8e79cc2"/>
    <w:p>
      <w:pPr>
        <w:pStyle w:val="Heading3"/>
      </w:pPr>
      <w:r>
        <w:t xml:space="preserve">2.1. Materials Acquisition &amp; Pre-processing (Scope 3 - Upstream)</w:t>
      </w:r>
    </w:p>
    <w:p>
      <w:pPr>
        <w:pStyle w:val="FirstParagraph"/>
      </w:pPr>
      <w:r>
        <w:t xml:space="preserve">This stage encompasses the extraction of raw materials, their initial processing, and the manufacturing of components detailed in the Bill of Materials (BOM).</w:t>
      </w:r>
    </w:p>
    <w:bookmarkEnd w:id="28"/>
    <w:bookmarkStart w:id="29" w:name="Xf782432fc98d8319347079b09ed3b4365fdd395"/>
    <w:p>
      <w:pPr>
        <w:pStyle w:val="Heading3"/>
      </w:pPr>
      <w:r>
        <w:t xml:space="preserve">2.2. Production/Manufacturing (Scope 1 &amp; 2 - Operational, Scope 3 - Upstream)</w:t>
      </w:r>
    </w:p>
    <w:p>
      <w:pPr>
        <w:pStyle w:val="FirstParagraph"/>
      </w:pPr>
      <w:r>
        <w:t xml:space="preserve">This stage covers the energy consumption and operational emissions at the manufacturing facility in China, including direct emissions from owned or controlled sources (Scope 1) and indirect emissions from purchased electricity, heat, or steam (Scope 2). Upstream emissions related to the production of purchased goods and services (e.g., machinery, non-BOM consumables) are also considered here as Scope 3.</w:t>
      </w:r>
    </w:p>
    <w:bookmarkEnd w:id="29"/>
    <w:bookmarkStart w:id="30" w:name="transport-scope-3---upstream-downstream"/>
    <w:p>
      <w:pPr>
        <w:pStyle w:val="Heading3"/>
      </w:pPr>
      <w:r>
        <w:t xml:space="preserve">2.3. Transport (Scope 3 - Upstream &amp; Downstream)</w:t>
      </w:r>
    </w:p>
    <w:p>
      <w:pPr>
        <w:pStyle w:val="FirstParagraph"/>
      </w:pPr>
      <w:r>
        <w:t xml:space="preserve">This stage accounts for all logistical activities, including the transport of raw materials and components to the manufacturing facility (inbound logistics, upstream Scope 3), and the distribution of the finished product to the customer (outbound logistics, downstream Scope 3).</w:t>
      </w:r>
    </w:p>
    <w:bookmarkEnd w:id="30"/>
    <w:bookmarkStart w:id="31" w:name="use-phase-scope-3---downstream"/>
    <w:p>
      <w:pPr>
        <w:pStyle w:val="Heading3"/>
      </w:pPr>
      <w:r>
        <w:t xml:space="preserve">2.4. Use Phase (Scope 3 - Downstream)</w:t>
      </w:r>
    </w:p>
    <w:p>
      <w:pPr>
        <w:pStyle w:val="FirstParagraph"/>
      </w:pPr>
      <w:r>
        <w:t xml:space="preserve">Emissions generated during the product\'s active use by the consumer are assessed here. This typically includes energy consumption during the product\'s operational lifespan.</w:t>
      </w:r>
    </w:p>
    <w:bookmarkEnd w:id="31"/>
    <w:bookmarkStart w:id="32" w:name="end-of-life-eol-scope-3---downstream"/>
    <w:p>
      <w:pPr>
        <w:pStyle w:val="Heading3"/>
      </w:pPr>
      <w:r>
        <w:t xml:space="preserve">2.5. End-of-Life (EoL) (Scope 3 - Downstream)</w:t>
      </w:r>
    </w:p>
    <w:p>
      <w:pPr>
        <w:pStyle w:val="FirstParagraph"/>
      </w:pPr>
      <w:r>
        <w:t xml:space="preserve">This final stage covers the emissions associated with the disposal, recycling, or recovery of the product at the end of its useful life, including the impacts of circular economy programs.</w:t>
      </w:r>
    </w:p>
    <w:p>
      <w:r>
        <w:pict>
          <v:rect style="width:0;height:1.5pt" o:hralign="center" o:hrstd="t" o:hr="t"/>
        </w:pict>
      </w:r>
    </w:p>
    <w:bookmarkEnd w:id="32"/>
    <w:bookmarkEnd w:id="33"/>
    <w:bookmarkStart w:id="39" w:name="X7b6d01ce7b6bfe45f00681616505557cddf238f"/>
    <w:p>
      <w:pPr>
        <w:pStyle w:val="Heading2"/>
      </w:pPr>
      <w:r>
        <w:t xml:space="preserve">3. Data Collection (Primary/Secondary Data Points)</w:t>
      </w:r>
    </w:p>
    <w:p>
      <w:pPr>
        <w:pStyle w:val="FirstParagraph"/>
      </w:pPr>
      <w:r>
        <w:t xml:space="preserve">To ensure a high-detail analysis, a combination of primary and secondary data points is utilized. Where specific parameters were provided as placeholders (e.g., \'mfzkrhuf\', \'Select Mode\'), illustrative data reflecting typical industry values and methodologies are used for calculation purposes, with the assumption that the provided placeholders would be replaced by actual, granular data in a live scenario.</w:t>
      </w:r>
    </w:p>
    <w:bookmarkStart w:id="34" w:name="X94241feb1756593d77e4e12b87bd530f3b8e6d7"/>
    <w:p>
      <w:pPr>
        <w:pStyle w:val="Heading3"/>
      </w:pPr>
      <w:r>
        <w:t xml:space="preserve">3.1. Detailed Bill of Materials (BOM) - mfzkrhuf (Scope 3 - Upstream)</w:t>
      </w:r>
    </w:p>
    <w:p>
      <w:pPr>
        <w:pStyle w:val="FirstParagraph"/>
      </w:pPr>
      <w:r>
        <w:t xml:space="preserve">The provided Detailed Bill of Materials (BOM)</w:t>
      </w:r>
      <w:r>
        <w:t xml:space="preserve"> </w:t>
      </w:r>
      <w:r>
        <w:rPr>
          <w:bCs/>
          <w:b/>
        </w:rPr>
        <w:t xml:space="preserve">mfzkrhuf</w:t>
      </w:r>
      <w:r>
        <w:t xml:space="preserve"> </w:t>
      </w:r>
      <w:r>
        <w:t xml:space="preserve">is crucial for calculating the material-specific carbon impact. For this report, we interpret \'mfzkrhuf\' as representing structured data that includes ID, Description, Category, Process, Qty, Unit, Emission Factor, and Total Carbon for each item. Below is an illustrative representation of how such a BOM would contribute 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E004</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iCs/>
          <w:i/>
        </w:rPr>
        <w:t xml:space="preserve">(Note: The \'Total Carbon\' values in this table are illustrative, based on assumed Emission Factors and Quantities, representing the structure of data expected from \'mfzkrhuf\').</w:t>
      </w:r>
    </w:p>
    <w:bookmarkEnd w:id="34"/>
    <w:bookmarkStart w:id="35" w:name="X3752ec8ac3bc3265ff85a89553e675c34e5edcd"/>
    <w:p>
      <w:pPr>
        <w:pStyle w:val="Heading3"/>
      </w:pPr>
      <w:r>
        <w:t xml:space="preserve">3.2. Production Energy Data (Scope 2 - Operational)</w:t>
      </w:r>
    </w:p>
    <w:p>
      <w:pPr>
        <w:numPr>
          <w:ilvl w:val="0"/>
          <w:numId w:val="1002"/>
        </w:numPr>
        <w:pStyle w:val="Compact"/>
      </w:pPr>
      <w:r>
        <w:rPr>
          <w:bCs/>
          <w:b/>
        </w:rPr>
        <w:t xml:space="preserve">Renewable Energy Usage (wmjjpoujxz):</w:t>
      </w:r>
      <w:r>
        <w:t xml:space="preserve"> </w:t>
      </w:r>
      <w:r>
        <w:t xml:space="preserve">We assume</w:t>
      </w:r>
      <w:r>
        <w:t xml:space="preserve"> </w:t>
      </w:r>
      <w:r>
        <w:rPr>
          <w:bCs/>
          <w:b/>
        </w:rPr>
        <w:t xml:space="preserve">wmjjpoujxz</w:t>
      </w:r>
      <w:r>
        <w:t xml:space="preserve"> </w:t>
      </w:r>
      <w:r>
        <w:t xml:space="preserve">represents a specific percentage of renewable energy used in production. For calculation purposes, we will use an illustrative value of</w:t>
      </w:r>
      <w:r>
        <w:t xml:space="preserve"> </w:t>
      </w:r>
      <w:r>
        <w:rPr>
          <w:bCs/>
          <w:b/>
        </w:rPr>
        <w:t xml:space="preserve">50% renewable energy</w:t>
      </w:r>
      <w:r>
        <w:t xml:space="preserve">.</w:t>
      </w:r>
    </w:p>
    <w:p>
      <w:pPr>
        <w:numPr>
          <w:ilvl w:val="0"/>
          <w:numId w:val="1002"/>
        </w:numPr>
        <w:pStyle w:val="Compact"/>
      </w:pPr>
      <w:r>
        <w:rPr>
          <w:bCs/>
          <w:b/>
        </w:rPr>
        <w:t xml:space="preserve">Energy Intensity (kWh/unit) (kfgtvtogyh):</w:t>
      </w:r>
      <w:r>
        <w:t xml:space="preserve"> </w:t>
      </w:r>
      <w:r>
        <w:t xml:space="preserve">We assume</w:t>
      </w:r>
      <w:r>
        <w:t xml:space="preserve"> </w:t>
      </w:r>
      <w:r>
        <w:rPr>
          <w:bCs/>
          <w:b/>
        </w:rPr>
        <w:t xml:space="preserve">kfgtvtogyh</w:t>
      </w:r>
      <w:r>
        <w:t xml:space="preserve"> </w:t>
      </w:r>
      <w:r>
        <w:t xml:space="preserve">represents the total energy consumed per unit of product during manufacturing. For calculation purposes, we will use an illustrative value of</w:t>
      </w:r>
      <w:r>
        <w:t xml:space="preserve"> </w:t>
      </w:r>
      <w:r>
        <w:rPr>
          <w:bCs/>
          <w:b/>
        </w:rPr>
        <w:t xml:space="preserve">10 kWh/unit</w:t>
      </w:r>
      <w:r>
        <w:t xml:space="preserve">.</w:t>
      </w:r>
    </w:p>
    <w:bookmarkEnd w:id="35"/>
    <w:bookmarkStart w:id="36" w:name="Xfce3d9e6c306c49d48a96744d75e9073663ff01"/>
    <w:p>
      <w:pPr>
        <w:pStyle w:val="Heading3"/>
      </w:pPr>
      <w:r>
        <w:t xml:space="preserve">3.3. Transport Data (Scope 3 - Upstream &amp; Downstream)</w:t>
      </w:r>
    </w:p>
    <w:p>
      <w:pPr>
        <w:numPr>
          <w:ilvl w:val="0"/>
          <w:numId w:val="1003"/>
        </w:numPr>
        <w:pStyle w:val="Compact"/>
      </w:pPr>
      <w:r>
        <w:rPr>
          <w:bCs/>
          <w:b/>
        </w:rPr>
        <w:t xml:space="preserve">Transport Mode (Select Mode):</w:t>
      </w:r>
      <w:r>
        <w:t xml:space="preserve"> </w:t>
      </w:r>
      <w:r>
        <w:t xml:space="preserve">For inbound logistics (materials from Europe to China), we assume</w:t>
      </w:r>
      <w:r>
        <w:t xml:space="preserve"> </w:t>
      </w:r>
      <w:r>
        <w:rPr>
          <w:bCs/>
          <w:b/>
        </w:rPr>
        <w:t xml:space="preserve">sea freight</w:t>
      </w:r>
      <w:r>
        <w:t xml:space="preserve">. For outbound logistics (finished product from China to market in Europe), we assume a combination of</w:t>
      </w:r>
      <w:r>
        <w:t xml:space="preserve"> </w:t>
      </w:r>
      <w:r>
        <w:rPr>
          <w:bCs/>
          <w:b/>
        </w:rPr>
        <w:t xml:space="preserve">sea freight (long haul) and road freight (last mile)</w:t>
      </w:r>
      <w:r>
        <w:t xml:space="preserve">.</w:t>
      </w:r>
    </w:p>
    <w:p>
      <w:pPr>
        <w:numPr>
          <w:ilvl w:val="0"/>
          <w:numId w:val="1003"/>
        </w:numPr>
        <w:pStyle w:val="Compact"/>
      </w:pPr>
      <w:r>
        <w:rPr>
          <w:bCs/>
          <w:b/>
        </w:rPr>
        <w:t xml:space="preserve">Transport Distance (gxxniwvpqj):</w:t>
      </w:r>
      <w:r>
        <w:t xml:space="preserve"> </w:t>
      </w:r>
      <w:r>
        <w:t xml:space="preserve">We assume</w:t>
      </w:r>
      <w:r>
        <w:t xml:space="preserve"> </w:t>
      </w:r>
      <w:r>
        <w:rPr>
          <w:bCs/>
          <w:b/>
        </w:rPr>
        <w:t xml:space="preserve">gxxniwvpqj</w:t>
      </w:r>
      <w:r>
        <w:t xml:space="preserve"> </w:t>
      </w:r>
      <w:r>
        <w:t xml:space="preserve">represents a total distance. For illustrative purposes, we will use:</w:t>
      </w:r>
    </w:p>
    <w:p>
      <w:pPr>
        <w:numPr>
          <w:ilvl w:val="1"/>
          <w:numId w:val="1004"/>
        </w:numPr>
        <w:pStyle w:val="Compact"/>
      </w:pPr>
      <w:r>
        <w:t xml:space="preserve">Inbound (Europe to China):</w:t>
      </w:r>
      <w:r>
        <w:t xml:space="preserve"> </w:t>
      </w:r>
      <w:r>
        <w:rPr>
          <w:bCs/>
          <w:b/>
        </w:rPr>
        <w:t xml:space="preserve">15,000 km (sea)</w:t>
      </w:r>
    </w:p>
    <w:p>
      <w:pPr>
        <w:numPr>
          <w:ilvl w:val="1"/>
          <w:numId w:val="1004"/>
        </w:numPr>
        <w:pStyle w:val="Compact"/>
      </w:pPr>
      <w:r>
        <w:t xml:space="preserve">Outbound (China to Europe):</w:t>
      </w:r>
      <w:r>
        <w:t xml:space="preserve"> </w:t>
      </w:r>
      <w:r>
        <w:rPr>
          <w:bCs/>
          <w:b/>
        </w:rPr>
        <w:t xml:space="preserve">15,000 km (sea) + 500 km (road)</w:t>
      </w:r>
    </w:p>
    <w:p>
      <w:pPr>
        <w:numPr>
          <w:ilvl w:val="0"/>
          <w:numId w:val="1003"/>
        </w:numPr>
        <w:pStyle w:val="Compact"/>
      </w:pPr>
      <w:r>
        <w:rPr>
          <w:bCs/>
          <w:b/>
        </w:rPr>
        <w:t xml:space="preserve">Last-Mile Delivery Channel (Delivery Type):</w:t>
      </w:r>
      <w:r>
        <w:t xml:space="preserve"> </w:t>
      </w:r>
      <w:r>
        <w:t xml:space="preserve">We assume</w:t>
      </w:r>
      <w:r>
        <w:t xml:space="preserve"> </w:t>
      </w:r>
      <w:r>
        <w:rPr>
          <w:bCs/>
          <w:b/>
        </w:rPr>
        <w:t xml:space="preserve">Delivery Type</w:t>
      </w:r>
      <w:r>
        <w:t xml:space="preserve"> </w:t>
      </w:r>
      <w:r>
        <w:t xml:space="preserve">represents a typical parcel delivery service.</w:t>
      </w:r>
    </w:p>
    <w:bookmarkEnd w:id="36"/>
    <w:bookmarkStart w:id="37" w:name="use-phase-data-scope-3---downstream"/>
    <w:p>
      <w:pPr>
        <w:pStyle w:val="Heading3"/>
      </w:pPr>
      <w:r>
        <w:t xml:space="preserve">3.4. Use Phase Data (Scope 3 - Downstream)</w:t>
      </w:r>
    </w:p>
    <w:p>
      <w:pPr>
        <w:numPr>
          <w:ilvl w:val="0"/>
          <w:numId w:val="1005"/>
        </w:numPr>
        <w:pStyle w:val="Compact"/>
      </w:pPr>
      <w:r>
        <w:rPr>
          <w:bCs/>
          <w:b/>
        </w:rPr>
        <w:t xml:space="preserve">Product Lifespan (sodsoqisvq):</w:t>
      </w:r>
      <w:r>
        <w:t xml:space="preserve"> </w:t>
      </w:r>
      <w:r>
        <w:t xml:space="preserve">We assume</w:t>
      </w:r>
      <w:r>
        <w:t xml:space="preserve"> </w:t>
      </w:r>
      <w:r>
        <w:rPr>
          <w:bCs/>
          <w:b/>
        </w:rPr>
        <w:t xml:space="preserve">sodsoqisvq</w:t>
      </w:r>
      <w:r>
        <w:t xml:space="preserve"> </w:t>
      </w:r>
      <w:r>
        <w:t xml:space="preserve">represents the product\'s expected useful life. For illustrative purposes, we will use a lifespan of</w:t>
      </w:r>
      <w:r>
        <w:t xml:space="preserve"> </w:t>
      </w:r>
      <w:r>
        <w:rPr>
          <w:bCs/>
          <w:b/>
        </w:rPr>
        <w:t xml:space="preserve">5 years</w:t>
      </w:r>
      <w:r>
        <w:t xml:space="preserve">.</w:t>
      </w:r>
    </w:p>
    <w:p>
      <w:pPr>
        <w:numPr>
          <w:ilvl w:val="0"/>
          <w:numId w:val="1005"/>
        </w:numPr>
        <w:pStyle w:val="Compact"/>
      </w:pPr>
      <w:r>
        <w:rPr>
          <w:bCs/>
          <w:b/>
        </w:rPr>
        <w:t xml:space="preserve">Energy Consumption in Use (qgpfryiqfl):</w:t>
      </w:r>
      <w:r>
        <w:t xml:space="preserve"> </w:t>
      </w:r>
      <w:r>
        <w:t xml:space="preserve">We assume</w:t>
      </w:r>
      <w:r>
        <w:t xml:space="preserve"> </w:t>
      </w:r>
      <w:r>
        <w:rPr>
          <w:bCs/>
          <w:b/>
        </w:rPr>
        <w:t xml:space="preserve">qgpfryiqfl</w:t>
      </w:r>
      <w:r>
        <w:t xml:space="preserve"> </w:t>
      </w:r>
      <w:r>
        <w:t xml:space="preserve">represents the annual energy consumption. For illustrative purposes, we will use</w:t>
      </w:r>
      <w:r>
        <w:t xml:space="preserve"> </w:t>
      </w:r>
      <w:r>
        <w:rPr>
          <w:bCs/>
          <w:b/>
        </w:rPr>
        <w:t xml:space="preserve">20 kWh/year</w:t>
      </w:r>
      <w:r>
        <w:t xml:space="preserve">.</w:t>
      </w:r>
    </w:p>
    <w:bookmarkEnd w:id="37"/>
    <w:bookmarkStart w:id="38" w:name="X1d6fb48e33f8142e05cc7719297f759d585345f"/>
    <w:p>
      <w:pPr>
        <w:pStyle w:val="Heading3"/>
      </w:pPr>
      <w:r>
        <w:t xml:space="preserve">3.5. End-of-Life (EoL) Data (Scope 3 - Downstream)</w:t>
      </w:r>
    </w:p>
    <w:p>
      <w:pPr>
        <w:numPr>
          <w:ilvl w:val="0"/>
          <w:numId w:val="1006"/>
        </w:numPr>
        <w:pStyle w:val="Compact"/>
      </w:pPr>
      <w:r>
        <w:rPr>
          <w:bCs/>
          <w:b/>
        </w:rPr>
        <w:t xml:space="preserve">Recyclability Percentage (ljtxwpojhy):</w:t>
      </w:r>
      <w:r>
        <w:t xml:space="preserve"> </w:t>
      </w:r>
      <w:r>
        <w:t xml:space="preserve">We assume</w:t>
      </w:r>
      <w:r>
        <w:t xml:space="preserve"> </w:t>
      </w:r>
      <w:r>
        <w:rPr>
          <w:bCs/>
          <w:b/>
        </w:rPr>
        <w:t xml:space="preserve">ljtxwpojhy</w:t>
      </w:r>
      <w:r>
        <w:t xml:space="preserve"> </w:t>
      </w:r>
      <w:r>
        <w:t xml:space="preserve">represents the percentage of the product that is recyclable. For illustrative purposes, we will use</w:t>
      </w:r>
      <w:r>
        <w:t xml:space="preserve"> </w:t>
      </w:r>
      <w:r>
        <w:rPr>
          <w:bCs/>
          <w:b/>
        </w:rPr>
        <w:t xml:space="preserve">70% recyclability</w:t>
      </w:r>
      <w:r>
        <w:t xml:space="preserve">.</w:t>
      </w:r>
    </w:p>
    <w:p>
      <w:pPr>
        <w:numPr>
          <w:ilvl w:val="0"/>
          <w:numId w:val="1006"/>
        </w:numPr>
        <w:pStyle w:val="Compact"/>
      </w:pPr>
      <w:r>
        <w:rPr>
          <w:bCs/>
          <w:b/>
        </w:rPr>
        <w:t xml:space="preserve">Circular/Take-back Programs (lwejkvopkn):</w:t>
      </w:r>
      <w:r>
        <w:t xml:space="preserve"> </w:t>
      </w:r>
      <w:r>
        <w:t xml:space="preserve">The existence of</w:t>
      </w:r>
      <w:r>
        <w:t xml:space="preserve"> </w:t>
      </w:r>
      <w:r>
        <w:rPr>
          <w:bCs/>
          <w:b/>
        </w:rPr>
        <w:t xml:space="preserve">lwejkvopkn</w:t>
      </w:r>
      <w:r>
        <w:t xml:space="preserve"> </w:t>
      </w:r>
      <w:r>
        <w:t xml:space="preserve">implies efforts to reduce waste and promote material circularity, which will be qualitatively discussed and quantitatively reflected in avoided emissions where data allows.</w:t>
      </w:r>
    </w:p>
    <w:p>
      <w:r>
        <w:pict>
          <v:rect style="width:0;height:1.5pt" o:hralign="center" o:hrstd="t" o:hr="t"/>
        </w:pict>
      </w:r>
    </w:p>
    <w:bookmarkEnd w:id="38"/>
    <w:bookmarkEnd w:id="39"/>
    <w:bookmarkStart w:id="47" w:name="X439a6e6dcb43c636bf515ffaf3f59bce0bd6490"/>
    <w:p>
      <w:pPr>
        <w:pStyle w:val="Heading2"/>
      </w:pPr>
      <w:r>
        <w:t xml:space="preserve">4. Emission Calculation (Activity * Emission Factor = CO2e)</w:t>
      </w:r>
    </w:p>
    <w:p>
      <w:pPr>
        <w:pStyle w:val="FirstParagraph"/>
      </w:pPr>
      <w:r>
        <w:t xml:space="preserve">Emissions are calculated for each lifecycle stage, categorizing them according to the GHG Protocol\'s Scope 1, 2, and 3 definitions. Industry-standard emission factors (e.g., from Ecoinvent, DEFRA, or similar databases) are used where specific factors are not provided in the BOM.</w:t>
      </w:r>
    </w:p>
    <w:bookmarkStart w:id="40" w:name="scope-1-emissions-direct-emissions"/>
    <w:p>
      <w:pPr>
        <w:pStyle w:val="Heading3"/>
      </w:pPr>
      <w:r>
        <w:t xml:space="preserve">4.1. Scope 1 Emissions (Direct Emissions)</w:t>
      </w:r>
    </w:p>
    <w:p>
      <w:pPr>
        <w:pStyle w:val="FirstParagraph"/>
      </w:pPr>
      <w:r>
        <w:t xml:space="preserve">These are direct greenhouse gas emissions from sources owned or controlled by</w:t>
      </w:r>
      <w:r>
        <w:t xml:space="preserve"> </w:t>
      </w:r>
      <w:r>
        <w:rPr>
          <w:bCs/>
          <w:b/>
        </w:rPr>
        <w:t xml:space="preserve">emynwjjxmr</w:t>
      </w:r>
      <w:r>
        <w:t xml:space="preserve">. For the factory_gate boundary, this would primarily include emissions from on-site fuel combustion (e.g., boilers, company vehicles within the facility). Given the provided parameters, direct fuel consumption data is not specified, so we will assume minimal Scope 1 direct process emissions for the manufacturing of \'qytuynihwf\' itself, focusing on energy-related emissions under Scope 2 and 3.</w:t>
      </w:r>
    </w:p>
    <w:p>
      <w:pPr>
        <w:pStyle w:val="BodyText"/>
      </w:pPr>
      <w:r>
        <w:rPr>
          <w:bCs/>
          <w:b/>
        </w:rPr>
        <w:t xml:space="preserve">Illustrative Scope 1 Emissions: 0.1 kgCO2e/unit (e.g., minor on-site heating/cooling)</w:t>
      </w:r>
    </w:p>
    <w:bookmarkEnd w:id="40"/>
    <w:bookmarkStart w:id="41" w:name="X1bd5ed5ba51603fe7fc5fd46de6dc3081dfffbb"/>
    <w:p>
      <w:pPr>
        <w:pStyle w:val="Heading3"/>
      </w:pPr>
      <w:r>
        <w:t xml:space="preserve">4.2. Scope 2 Emissions (Indirect Emissions from Purchased Energy)</w:t>
      </w:r>
    </w:p>
    <w:p>
      <w:pPr>
        <w:pStyle w:val="FirstParagraph"/>
      </w:pPr>
      <w:r>
        <w:t xml:space="preserve">These are emissions from the generation of purchased electricity, heat, or steam consumed by</w:t>
      </w:r>
      <w:r>
        <w:t xml:space="preserve"> </w:t>
      </w:r>
      <w:r>
        <w:rPr>
          <w:bCs/>
          <w:b/>
        </w:rPr>
        <w:t xml:space="preserve">emynwjjxmr</w:t>
      </w:r>
      <w:r>
        <w:t xml:space="preserve">\'s manufacturing facility.</w:t>
      </w:r>
    </w:p>
    <w:p>
      <w:pPr>
        <w:numPr>
          <w:ilvl w:val="0"/>
          <w:numId w:val="1007"/>
        </w:numPr>
        <w:pStyle w:val="Compact"/>
      </w:pPr>
      <w:r>
        <w:rPr>
          <w:bCs/>
          <w:b/>
        </w:rPr>
        <w:t xml:space="preserve">Total Energy Consumption:</w:t>
      </w:r>
      <w:r>
        <w:t xml:space="preserve"> </w:t>
      </w:r>
      <w:r>
        <w:t xml:space="preserve">10 kWh/unit (kfgtvtogyh, illustrative)</w:t>
      </w:r>
    </w:p>
    <w:p>
      <w:pPr>
        <w:numPr>
          <w:ilvl w:val="0"/>
          <w:numId w:val="1007"/>
        </w:numPr>
        <w:pStyle w:val="Compact"/>
      </w:pPr>
      <w:r>
        <w:rPr>
          <w:bCs/>
          <w:b/>
        </w:rPr>
        <w:t xml:space="preserve">Renewable Energy Usage:</w:t>
      </w:r>
      <w:r>
        <w:t xml:space="preserve"> </w:t>
      </w:r>
      <w:r>
        <w:t xml:space="preserve">50% (wmjjpoujxz, illustrative)</w:t>
      </w:r>
    </w:p>
    <w:p>
      <w:pPr>
        <w:numPr>
          <w:ilvl w:val="0"/>
          <w:numId w:val="1007"/>
        </w:numPr>
        <w:pStyle w:val="Compact"/>
      </w:pPr>
      <w:r>
        <w:rPr>
          <w:bCs/>
          <w:b/>
        </w:rPr>
        <w:t xml:space="preserve">Non-Renewable Energy:</w:t>
      </w:r>
      <w:r>
        <w:t xml:space="preserve"> </w:t>
      </w:r>
      <w:r>
        <w:t xml:space="preserve">10 kWh/unit * (1 - 0.50) = 5 kWh/unit</w:t>
      </w:r>
    </w:p>
    <w:p>
      <w:pPr>
        <w:numPr>
          <w:ilvl w:val="0"/>
          <w:numId w:val="1007"/>
        </w:numPr>
        <w:pStyle w:val="Compact"/>
      </w:pPr>
      <w:r>
        <w:rPr>
          <w:bCs/>
          <w:b/>
        </w:rPr>
        <w:t xml:space="preserve">Illustrative Grid Emission Factor (China):</w:t>
      </w:r>
      <w:r>
        <w:t xml:space="preserve"> </w:t>
      </w:r>
      <w:r>
        <w:t xml:space="preserve">0.7 kgCO2e/kWh (Source: IEA, general estimate)</w:t>
      </w:r>
    </w:p>
    <w:p>
      <w:pPr>
        <w:numPr>
          <w:ilvl w:val="0"/>
          <w:numId w:val="1007"/>
        </w:numPr>
        <w:pStyle w:val="Compact"/>
      </w:pPr>
      <w:r>
        <w:rPr>
          <w:bCs/>
          <w:b/>
        </w:rPr>
        <w:t xml:space="preserve">Calculated Scope 2 Emissions:</w:t>
      </w:r>
      <w:r>
        <w:t xml:space="preserve"> </w:t>
      </w:r>
      <w:r>
        <w:t xml:space="preserve">5 kWh/unit * 0.7 kgCO2e/kWh =</w:t>
      </w:r>
      <w:r>
        <w:t xml:space="preserve"> </w:t>
      </w:r>
      <w:r>
        <w:rPr>
          <w:bCs/>
          <w:b/>
        </w:rPr>
        <w:t xml:space="preserve">3.5 kgCO2e/unit</w:t>
      </w:r>
    </w:p>
    <w:bookmarkEnd w:id="41"/>
    <w:bookmarkStart w:id="45" w:name="Xc0e8d524e8c55442a875a6363c71b09ba079b79"/>
    <w:p>
      <w:pPr>
        <w:pStyle w:val="Heading3"/>
      </w:pPr>
      <w:r>
        <w:t xml:space="preserve">4.3. Scope 3 Emissions (Other Indirect Emissions)</w:t>
      </w:r>
    </w:p>
    <w:p>
      <w:pPr>
        <w:pStyle w:val="FirstParagraph"/>
      </w:pPr>
      <w:r>
        <w:t xml:space="preserve">Scope 3 emissions cover the entire value chain. Achieving 95% coverage is a key requirement, addressed by detailing emissions from upstream and downstream activities.</w:t>
      </w:r>
    </w:p>
    <w:bookmarkStart w:id="42" w:name="upstream-scope-3-emissions"/>
    <w:p>
      <w:pPr>
        <w:pStyle w:val="Heading4"/>
      </w:pPr>
      <w:r>
        <w:t xml:space="preserve">4.3.1. Upstream Scope 3 Emissions</w:t>
      </w:r>
    </w:p>
    <w:p>
      <w:pPr>
        <w:numPr>
          <w:ilvl w:val="0"/>
          <w:numId w:val="1008"/>
        </w:numPr>
      </w:pPr>
      <w:r>
        <w:rPr>
          <w:bCs/>
          <w:b/>
        </w:rPr>
        <w:t xml:space="preserve">Category 1: Purchased Goods and Services (Materials Acquisition &amp; Pre-processing)</w:t>
      </w:r>
    </w:p>
    <w:p>
      <w:pPr>
        <w:numPr>
          <w:ilvl w:val="0"/>
          <w:numId w:val="1000"/>
        </w:numPr>
      </w:pPr>
      <w:r>
        <w:t xml:space="preserve">Based on the illustrative BOM (mfzkrhuf), the sum of \'Total Carbon\' for materials is:</w:t>
      </w:r>
    </w:p>
    <w:p>
      <w:pPr>
        <w:numPr>
          <w:ilvl w:val="1"/>
          <w:numId w:val="1009"/>
        </w:numPr>
        <w:pStyle w:val="Compact"/>
      </w:pPr>
      <w:r>
        <w:t xml:space="preserve">Aluminum Casing: 4.25 kgCO2e</w:t>
      </w:r>
    </w:p>
    <w:p>
      <w:pPr>
        <w:numPr>
          <w:ilvl w:val="1"/>
          <w:numId w:val="1009"/>
        </w:numPr>
        <w:pStyle w:val="Compact"/>
      </w:pPr>
      <w:r>
        <w:t xml:space="preserve">ABS Plastic Housing: 0.96 kgCO2e</w:t>
      </w:r>
    </w:p>
    <w:p>
      <w:pPr>
        <w:numPr>
          <w:ilvl w:val="1"/>
          <w:numId w:val="1009"/>
        </w:numPr>
        <w:pStyle w:val="Compact"/>
      </w:pPr>
      <w:r>
        <w:t xml:space="preserve">Circuit Board (PCB): 1.50 kgCO2e</w:t>
      </w:r>
    </w:p>
    <w:p>
      <w:pPr>
        <w:numPr>
          <w:ilvl w:val="1"/>
          <w:numId w:val="1009"/>
        </w:numPr>
        <w:pStyle w:val="Compact"/>
      </w:pPr>
      <w:r>
        <w:t xml:space="preserve">Semiconductor Chip: 0.50 kgCO2e</w:t>
      </w:r>
    </w:p>
    <w:p>
      <w:pPr>
        <w:numPr>
          <w:ilvl w:val="1"/>
          <w:numId w:val="1009"/>
        </w:numPr>
        <w:pStyle w:val="Compact"/>
      </w:pPr>
      <w:r>
        <w:t xml:space="preserve">Packaging (Cardboard): 0.20 kgCO2e</w:t>
      </w:r>
    </w:p>
    <w:p>
      <w:pPr>
        <w:numPr>
          <w:ilvl w:val="0"/>
          <w:numId w:val="1000"/>
        </w:numPr>
      </w:pPr>
      <w:r>
        <w:rPr>
          <w:bCs/>
          <w:b/>
        </w:rPr>
        <w:t xml:space="preserve">Total Illustrative Material Emissions: 7.41 kgCO2e/unit</w:t>
      </w:r>
    </w:p>
    <w:p>
      <w:pPr>
        <w:numPr>
          <w:ilvl w:val="0"/>
          <w:numId w:val="1008"/>
        </w:numPr>
      </w:pPr>
      <w:r>
        <w:rPr>
          <w:bCs/>
          <w:b/>
        </w:rPr>
        <w:t xml:space="preserve">Category 4: Upstream Transportation and Distribution (Inbound Logistics)</w:t>
      </w:r>
    </w:p>
    <w:p>
      <w:pPr>
        <w:numPr>
          <w:ilvl w:val="0"/>
          <w:numId w:val="1000"/>
        </w:numPr>
      </w:pPr>
      <w:r>
        <w:t xml:space="preserve">Assuming sea freight for 15,000 km (Europe to China) for components (e.g., ~1 kg total weight per unit of qytuynihwf) and an illustrative emission factor for containerized sea freight of 0.01 kgCO2e/tonne-km (DEFRA equivalent).</w:t>
      </w:r>
    </w:p>
    <w:p>
      <w:pPr>
        <w:numPr>
          <w:ilvl w:val="1"/>
          <w:numId w:val="1010"/>
        </w:numPr>
        <w:pStyle w:val="Compact"/>
      </w:pPr>
      <w:r>
        <w:t xml:space="preserve">Illustrative total weight per unit for inbound: 1 kg (0.001 tonne)</w:t>
      </w:r>
    </w:p>
    <w:p>
      <w:pPr>
        <w:numPr>
          <w:ilvl w:val="1"/>
          <w:numId w:val="1010"/>
        </w:numPr>
        <w:pStyle w:val="Compact"/>
      </w:pPr>
      <w:r>
        <w:rPr>
          <w:bCs/>
          <w:b/>
        </w:rPr>
        <w:t xml:space="preserve">Calculated Inbound Transport Emissions:</w:t>
      </w:r>
      <w:r>
        <w:t xml:space="preserve"> </w:t>
      </w:r>
      <w:r>
        <w:t xml:space="preserve">0.001 tonne * 15,000 km * 0.01 kgCO2e/tonne-km =</w:t>
      </w:r>
      <w:r>
        <w:t xml:space="preserve"> </w:t>
      </w:r>
      <w:r>
        <w:rPr>
          <w:bCs/>
          <w:b/>
        </w:rPr>
        <w:t xml:space="preserve">0.15 kgCO2e/unit</w:t>
      </w:r>
    </w:p>
    <w:p>
      <w:pPr>
        <w:numPr>
          <w:ilvl w:val="0"/>
          <w:numId w:val="1008"/>
        </w:numPr>
        <w:pStyle w:val="Compact"/>
      </w:pPr>
      <w:r>
        <w:t xml:space="preserve">Other Upstream Scope 3 categories (e.g., capital goods, fuel- and energy-related activities not included in Scope 1 or 2, waste generated in operations, business travel, employee commuting) are acknowledged. For high detail, these would require specific data. For this report\'s illustrative purpose, the primary focus is on materials and direct energy.</w:t>
      </w:r>
    </w:p>
    <w:p>
      <w:pPr>
        <w:pStyle w:val="FirstParagraph"/>
      </w:pPr>
      <w:r>
        <w:rPr>
          <w:bCs/>
          <w:b/>
        </w:rPr>
        <w:t xml:space="preserve">Total Illustrative Upstream Scope 3 Emissions: 7.41 (materials) + 0.15 (inbound transport) = 7.56 kgCO2e/unit</w:t>
      </w:r>
    </w:p>
    <w:bookmarkEnd w:id="42"/>
    <w:bookmarkStart w:id="43" w:name="downstream-scope-3-emissions"/>
    <w:p>
      <w:pPr>
        <w:pStyle w:val="Heading4"/>
      </w:pPr>
      <w:r>
        <w:t xml:space="preserve">4.3.2. Downstream Scope 3 Emissions</w:t>
      </w:r>
    </w:p>
    <w:p>
      <w:pPr>
        <w:numPr>
          <w:ilvl w:val="0"/>
          <w:numId w:val="1011"/>
        </w:numPr>
      </w:pPr>
      <w:r>
        <w:rPr>
          <w:bCs/>
          <w:b/>
        </w:rPr>
        <w:t xml:space="preserve">Category 9: Downstream Transportation and Distribution (Outbound Logistics)</w:t>
      </w:r>
    </w:p>
    <w:p>
      <w:pPr>
        <w:numPr>
          <w:ilvl w:val="0"/>
          <w:numId w:val="1000"/>
        </w:numPr>
      </w:pPr>
      <w:r>
        <w:t xml:space="preserve">Assuming sea freight (15,000 km) and road freight (500 km) for the finished product from China to Europe. Illustrative product weight: 1.5 kg (0.0015 tonne).</w:t>
      </w:r>
    </w:p>
    <w:p>
      <w:pPr>
        <w:numPr>
          <w:ilvl w:val="1"/>
          <w:numId w:val="1012"/>
        </w:numPr>
        <w:pStyle w:val="Compact"/>
      </w:pPr>
      <w:r>
        <w:t xml:space="preserve">Sea Freight: 0.0015 tonne * 15,000 km * 0.01 kgCO2e/tonne-km = 0.225 kgCO2e</w:t>
      </w:r>
    </w:p>
    <w:p>
      <w:pPr>
        <w:numPr>
          <w:ilvl w:val="1"/>
          <w:numId w:val="1012"/>
        </w:numPr>
        <w:pStyle w:val="Compact"/>
      </w:pPr>
      <w:r>
        <w:t xml:space="preserve">Road Freight (HGV, &gt;3.5-17 tonnes, average): 0.0015 tonne * 500 km * 0.08 kgCO2e/tonne-km (DEFRA equivalent) = 0.06 kgCO2e</w:t>
      </w:r>
    </w:p>
    <w:p>
      <w:pPr>
        <w:numPr>
          <w:ilvl w:val="0"/>
          <w:numId w:val="1000"/>
        </w:numPr>
      </w:pPr>
      <w:r>
        <w:rPr>
          <w:bCs/>
          <w:b/>
        </w:rPr>
        <w:t xml:space="preserve">Calculated Outbound Transport Emissions: 0.225 + 0.06 = 0.285 kgCO2e/unit</w:t>
      </w:r>
    </w:p>
    <w:p>
      <w:pPr>
        <w:numPr>
          <w:ilvl w:val="0"/>
          <w:numId w:val="1011"/>
        </w:numPr>
      </w:pPr>
      <w:r>
        <w:rPr>
          <w:bCs/>
          <w:b/>
        </w:rPr>
        <w:t xml:space="preserve">Category 11: Use of Sold Products (Use Phase)</w:t>
      </w:r>
    </w:p>
    <w:p>
      <w:pPr>
        <w:numPr>
          <w:ilvl w:val="0"/>
          <w:numId w:val="1000"/>
        </w:numPr>
      </w:pPr>
      <w:r>
        <w:t xml:space="preserve">Product lifespan: 5 years (sodsoqisvq, illustrative)</w:t>
      </w:r>
    </w:p>
    <w:p>
      <w:pPr>
        <w:numPr>
          <w:ilvl w:val="0"/>
          <w:numId w:val="1000"/>
        </w:numPr>
      </w:pPr>
      <w:r>
        <w:t xml:space="preserve">Annual energy consumption: 20 kWh/year (qgpfryiqfl, illustrative)</w:t>
      </w:r>
    </w:p>
    <w:p>
      <w:pPr>
        <w:numPr>
          <w:ilvl w:val="0"/>
          <w:numId w:val="1000"/>
        </w:numPr>
      </w:pPr>
      <w:r>
        <w:t xml:space="preserve">Total energy consumption over lifespan: 20 kWh/year * 5 years = 100 kWh/unit</w:t>
      </w:r>
    </w:p>
    <w:p>
      <w:pPr>
        <w:numPr>
          <w:ilvl w:val="0"/>
          <w:numId w:val="1000"/>
        </w:numPr>
      </w:pPr>
      <w:r>
        <w:t xml:space="preserve">Assuming average European grid emission factor for residential use: 0.25 kgCO2e/kWh (Source: IEA, general estimate)</w:t>
      </w:r>
    </w:p>
    <w:p>
      <w:pPr>
        <w:numPr>
          <w:ilvl w:val="0"/>
          <w:numId w:val="1000"/>
        </w:numPr>
      </w:pPr>
      <w:r>
        <w:rPr>
          <w:bCs/>
          <w:b/>
        </w:rPr>
        <w:t xml:space="preserve">Calculated Use Phase Emissions:</w:t>
      </w:r>
      <w:r>
        <w:t xml:space="preserve"> </w:t>
      </w:r>
      <w:r>
        <w:t xml:space="preserve">100 kWh/unit * 0.25 kgCO2e/kWh =</w:t>
      </w:r>
      <w:r>
        <w:t xml:space="preserve"> </w:t>
      </w:r>
      <w:r>
        <w:rPr>
          <w:bCs/>
          <w:b/>
        </w:rPr>
        <w:t xml:space="preserve">25.0 kgCO2e/unit</w:t>
      </w:r>
    </w:p>
    <w:p>
      <w:pPr>
        <w:numPr>
          <w:ilvl w:val="0"/>
          <w:numId w:val="1011"/>
        </w:numPr>
      </w:pPr>
      <w:r>
        <w:rPr>
          <w:bCs/>
          <w:b/>
        </w:rPr>
        <w:t xml:space="preserve">Category 12: End-of-Life Treatment of Sold Products (EoL)</w:t>
      </w:r>
    </w:p>
    <w:p>
      <w:pPr>
        <w:numPr>
          <w:ilvl w:val="0"/>
          <w:numId w:val="1000"/>
        </w:numPr>
      </w:pPr>
      <w:r>
        <w:t xml:space="preserve">Product weight at EoL: 1.5 kg (illustrative)</w:t>
      </w:r>
    </w:p>
    <w:p>
      <w:pPr>
        <w:numPr>
          <w:ilvl w:val="0"/>
          <w:numId w:val="1000"/>
        </w:numPr>
      </w:pPr>
      <w:r>
        <w:t xml:space="preserve">Recyclability Percentage: 70% (ljtxwpojhy, illustrative)</w:t>
      </w:r>
    </w:p>
    <w:p>
      <w:pPr>
        <w:numPr>
          <w:ilvl w:val="0"/>
          <w:numId w:val="1000"/>
        </w:numPr>
      </w:pPr>
      <w:r>
        <w:t xml:space="preserve">Waste to landfill/incineration: 1.5 kg * (1 - 0.70) = 0.45 kg</w:t>
      </w:r>
    </w:p>
    <w:p>
      <w:pPr>
        <w:numPr>
          <w:ilvl w:val="0"/>
          <w:numId w:val="1000"/>
        </w:numPr>
      </w:pPr>
      <w:r>
        <w:t xml:space="preserve">Illustrative emission factor for mixed waste to landfill/incineration: 0.5 kgCO2e/kg (DEFRA equivalent, simplified)</w:t>
      </w:r>
    </w:p>
    <w:p>
      <w:pPr>
        <w:numPr>
          <w:ilvl w:val="0"/>
          <w:numId w:val="1000"/>
        </w:numPr>
      </w:pPr>
      <w:r>
        <w:rPr>
          <w:bCs/>
          <w:b/>
        </w:rPr>
        <w:t xml:space="preserve">Emissions from Non-Recycled Waste:</w:t>
      </w:r>
      <w:r>
        <w:t xml:space="preserve"> </w:t>
      </w:r>
      <w:r>
        <w:t xml:space="preserve">0.45 kg * 0.5 kgCO2e/kg = 0.225 kgCO2e</w:t>
      </w:r>
    </w:p>
    <w:p>
      <w:pPr>
        <w:numPr>
          <w:ilvl w:val="0"/>
          <w:numId w:val="1000"/>
        </w:numPr>
      </w:pPr>
      <w:r>
        <w:rPr>
          <w:bCs/>
          <w:b/>
        </w:rPr>
        <w:t xml:space="preserve">Avoided Emissions from Recycling (due to Circular/Take-back Programs - lwejkvopkn):</w:t>
      </w:r>
      <w:r>
        <w:t xml:space="preserve"> </w:t>
      </w:r>
      <w:r>
        <w:t xml:space="preserve">Assuming a credit for recycled materials (e.g., 50% of virgin material impact for the 70% recycled portion). This is a complex calculation, simplified for illustration.</w:t>
      </w:r>
    </w:p>
    <w:p>
      <w:pPr>
        <w:numPr>
          <w:ilvl w:val="0"/>
          <w:numId w:val="1000"/>
        </w:numPr>
      </w:pPr>
      <w:r>
        <w:t xml:space="preserve">Illustrative credit: -0.7 kgCO2e/unit (reflecting the avoided impact of virgin material production).</w:t>
      </w:r>
    </w:p>
    <w:p>
      <w:pPr>
        <w:numPr>
          <w:ilvl w:val="0"/>
          <w:numId w:val="1000"/>
        </w:numPr>
      </w:pPr>
      <w:r>
        <w:rPr>
          <w:bCs/>
          <w:b/>
        </w:rPr>
        <w:t xml:space="preserve">Net End-of-Life Emissions:</w:t>
      </w:r>
      <w:r>
        <w:t xml:space="preserve"> </w:t>
      </w:r>
      <w:r>
        <w:t xml:space="preserve">0.225 - 0.7 =</w:t>
      </w:r>
      <w:r>
        <w:t xml:space="preserve"> </w:t>
      </w:r>
      <w:r>
        <w:rPr>
          <w:bCs/>
          <w:b/>
        </w:rPr>
        <w:t xml:space="preserve">-0.475 kgCO2e/unit</w:t>
      </w:r>
      <w:r>
        <w:t xml:space="preserve"> </w:t>
      </w:r>
      <w:r>
        <w:t xml:space="preserve">(Negative value indicates a net carbon benefit due to recycling/circularity)</w:t>
      </w:r>
    </w:p>
    <w:p>
      <w:pPr>
        <w:pStyle w:val="FirstParagraph"/>
      </w:pPr>
      <w:r>
        <w:rPr>
          <w:bCs/>
          <w:b/>
        </w:rPr>
        <w:t xml:space="preserve">Total Illustrative Downstream Scope 3 Emissions: 0.285 (outbound transport) + 25.0 (use phase) - 0.475 (EoL) = 24.81 kgCO2e/unit</w:t>
      </w:r>
    </w:p>
    <w:bookmarkEnd w:id="43"/>
    <w:bookmarkStart w:id="44" w:name="land-sector-and-removals-lsr-update-2026"/>
    <w:p>
      <w:pPr>
        <w:pStyle w:val="Heading4"/>
      </w:pPr>
      <w:r>
        <w:t xml:space="preserve">4.3.3. Land Sector and Removals (LSR) Update (2026)</w:t>
      </w:r>
    </w:p>
    <w:p>
      <w:pPr>
        <w:pStyle w:val="FirstParagraph"/>
      </w:pPr>
      <w:r>
        <w:t xml:space="preserve">The 2026 LSR Standard requires explicit accounting for emissions and removals from land use change and biogenic carbon. For</w:t>
      </w:r>
      <w:r>
        <w:t xml:space="preserve"> </w:t>
      </w:r>
      <w:r>
        <w:rPr>
          <w:bCs/>
          <w:b/>
        </w:rPr>
        <w:t xml:space="preserve">qytuynihwf</w:t>
      </w:r>
      <w:r>
        <w:t xml:space="preserve">, if it contains biogenic materials (e.g., wood, cotton), their uptake and release of CO2 throughout the lifecycle would be quantified. Additionally, any land-use change associated with raw material sourcing (e.g., deforestation for palm oil derivatives) would be included as emissions, and carbon sequestration projects linked to the product\'s value chain would be counted as removals. Without specific data on biogenic content or land-use impacts of sourcing, this report acknowledges the requirement and assumes no significant net LSR impact for illustrative purposes, or that any impacts are embedded within general material emission factors. A dedicated LSR assessment would be performed if relevant data were available.</w:t>
      </w:r>
    </w:p>
    <w:bookmarkEnd w:id="44"/>
    <w:bookmarkEnd w:id="45"/>
    <w:bookmarkStart w:id="46" w:name="X9b435f9006cf04294f943c0bc3e88ac8be6bd1a"/>
    <w:p>
      <w:pPr>
        <w:pStyle w:val="Heading3"/>
      </w:pPr>
      <w:r>
        <w:t xml:space="preserve">4.4. Total Product Carbon Footprint (Illustrative)</w:t>
      </w:r>
    </w:p>
    <w:p>
      <w:pPr>
        <w:pStyle w:val="FirstParagraph"/>
      </w:pPr>
      <w:r>
        <w:t xml:space="preserve">Summarizing the illustrative emissions per unit of</w:t>
      </w:r>
      <w:r>
        <w:t xml:space="preserve"> </w:t>
      </w:r>
      <w:r>
        <w:rPr>
          <w:bCs/>
          <w:b/>
        </w:rPr>
        <w:t xml:space="preserve">qytuynihwf</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Stage(s)</w:t>
            </w:r>
          </w:p>
        </w:tc>
        <w:tc>
          <w:tcPr/>
          <w:p>
            <w:pPr>
              <w:pStyle w:val="Compact"/>
              <w:jc w:val="left"/>
            </w:pPr>
            <w:r>
              <w:t xml:space="preserve">Illustrative Emissions (kgCO2e/unit)</w:t>
            </w:r>
          </w:p>
        </w:tc>
      </w:tr>
      <w:tr>
        <w:tc>
          <w:tcPr/>
          <w:p>
            <w:pPr>
              <w:pStyle w:val="Compact"/>
              <w:jc w:val="left"/>
            </w:pPr>
            <w:r>
              <w:t xml:space="preserve">Scope 1 (Direct)</w:t>
            </w:r>
          </w:p>
        </w:tc>
        <w:tc>
          <w:tcPr/>
          <w:p>
            <w:pPr>
              <w:pStyle w:val="Compact"/>
              <w:jc w:val="left"/>
            </w:pPr>
            <w:r>
              <w:t xml:space="preserve">Production/Manufacturing</w:t>
            </w:r>
          </w:p>
        </w:tc>
        <w:tc>
          <w:tcPr/>
          <w:p>
            <w:pPr>
              <w:pStyle w:val="Compact"/>
              <w:jc w:val="left"/>
            </w:pPr>
            <w:r>
              <w:t xml:space="preserve">0.10</w:t>
            </w:r>
          </w:p>
        </w:tc>
      </w:tr>
      <w:tr>
        <w:tc>
          <w:tcPr/>
          <w:p>
            <w:pPr>
              <w:pStyle w:val="Compact"/>
              <w:jc w:val="left"/>
            </w:pPr>
            <w:r>
              <w:t xml:space="preserve">Scope 2 (Purchased Energy)</w:t>
            </w:r>
          </w:p>
        </w:tc>
        <w:tc>
          <w:tcPr/>
          <w:p>
            <w:pPr>
              <w:pStyle w:val="Compact"/>
              <w:jc w:val="left"/>
            </w:pPr>
            <w:r>
              <w:t xml:space="preserve">Production/Manufacturing</w:t>
            </w:r>
          </w:p>
        </w:tc>
        <w:tc>
          <w:tcPr/>
          <w:p>
            <w:pPr>
              <w:pStyle w:val="Compact"/>
              <w:jc w:val="left"/>
            </w:pPr>
            <w:r>
              <w:t xml:space="preserve">3.50</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7.41</w:t>
            </w:r>
          </w:p>
        </w:tc>
      </w:tr>
      <w:tr>
        <w:tc>
          <w:tcPr/>
          <w:p>
            <w:pPr>
              <w:pStyle w:val="Compact"/>
              <w:jc w:val="left"/>
            </w:pPr>
            <w:r>
              <w:t xml:space="preserve">Scope 3 (Upstream)</w:t>
            </w:r>
          </w:p>
        </w:tc>
        <w:tc>
          <w:tcPr/>
          <w:p>
            <w:pPr>
              <w:pStyle w:val="Compact"/>
              <w:jc w:val="left"/>
            </w:pPr>
            <w:r>
              <w:t xml:space="preserve">Inbound Transportation &amp; Distribution</w:t>
            </w:r>
          </w:p>
        </w:tc>
        <w:tc>
          <w:tcPr/>
          <w:p>
            <w:pPr>
              <w:pStyle w:val="Compact"/>
              <w:jc w:val="left"/>
            </w:pPr>
            <w:r>
              <w:t xml:space="preserve">0.15</w:t>
            </w:r>
          </w:p>
        </w:tc>
      </w:tr>
      <w:tr>
        <w:tc>
          <w:tcPr/>
          <w:p>
            <w:pPr>
              <w:pStyle w:val="Compact"/>
              <w:jc w:val="left"/>
            </w:pPr>
            <w:r>
              <w:t xml:space="preserve">Scope 3 (Downstream)</w:t>
            </w:r>
          </w:p>
        </w:tc>
        <w:tc>
          <w:tcPr/>
          <w:p>
            <w:pPr>
              <w:pStyle w:val="Compact"/>
              <w:jc w:val="left"/>
            </w:pPr>
            <w:r>
              <w:t xml:space="preserve">Outbound Transportation &amp; Distribution</w:t>
            </w:r>
          </w:p>
        </w:tc>
        <w:tc>
          <w:tcPr/>
          <w:p>
            <w:pPr>
              <w:pStyle w:val="Compact"/>
              <w:jc w:val="left"/>
            </w:pPr>
            <w:r>
              <w:t xml:space="preserve">0.29</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25.00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-0.475</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35.975</w:t>
            </w:r>
          </w:p>
        </w:tc>
      </w:tr>
    </w:tbl>
    <w:p>
      <w:pPr>
        <w:pStyle w:val="BodyText"/>
      </w:pPr>
      <w:r>
        <w:rPr>
          <w:bCs/>
          <w:b/>
        </w:rPr>
        <w:t xml:space="preserve">Illustrative Total PCF for qytuynihwf: 35.975 kgCO2e/unit</w:t>
      </w:r>
    </w:p>
    <w:p>
      <w:r>
        <w:pict>
          <v:rect style="width:0;height:1.5pt" o:hralign="center" o:hrstd="t" o:hr="t"/>
        </w:pict>
      </w:r>
    </w:p>
    <w:bookmarkEnd w:id="46"/>
    <w:bookmarkEnd w:id="47"/>
    <w:bookmarkStart w:id="52" w:name="review-report"/>
    <w:p>
      <w:pPr>
        <w:pStyle w:val="Heading2"/>
      </w:pPr>
      <w:r>
        <w:t xml:space="preserve">5. Review &amp; Report</w:t>
      </w:r>
    </w:p>
    <w:bookmarkStart w:id="48" w:name="identification-of-hotspots"/>
    <w:p>
      <w:pPr>
        <w:pStyle w:val="Heading3"/>
      </w:pPr>
      <w:r>
        <w:t xml:space="preserve">5.1. Identification of Hotspots</w:t>
      </w:r>
    </w:p>
    <w:p>
      <w:pPr>
        <w:pStyle w:val="FirstParagraph"/>
      </w:pPr>
      <w:r>
        <w:t xml:space="preserve">Based on the illustrative calculations, the primary carbon hotspots for</w:t>
      </w:r>
      <w:r>
        <w:t xml:space="preserve"> </w:t>
      </w:r>
      <w:r>
        <w:rPr>
          <w:bCs/>
          <w:b/>
        </w:rPr>
        <w:t xml:space="preserve">qytuynihwf</w:t>
      </w:r>
      <w:r>
        <w:t xml:space="preserve"> </w:t>
      </w:r>
      <w:r>
        <w:t xml:space="preserve">are:</w:t>
      </w:r>
    </w:p>
    <w:p>
      <w:pPr>
        <w:numPr>
          <w:ilvl w:val="0"/>
          <w:numId w:val="1013"/>
        </w:numPr>
        <w:pStyle w:val="Compact"/>
      </w:pPr>
      <w:r>
        <w:rPr>
          <w:bCs/>
          <w:b/>
        </w:rPr>
        <w:t xml:space="preserve">Use Phase (25.0 kgCO2e/unit):</w:t>
      </w:r>
      <w:r>
        <w:t xml:space="preserve"> </w:t>
      </w:r>
      <w:r>
        <w:t xml:space="preserve">This is the dominant contributor, primarily due to the energy consumption of the product over its 5-year lifespan. This suggests that improvements in energy efficiency during product operation are critical.</w:t>
      </w:r>
    </w:p>
    <w:p>
      <w:pPr>
        <w:numPr>
          <w:ilvl w:val="0"/>
          <w:numId w:val="1013"/>
        </w:numPr>
        <w:pStyle w:val="Compact"/>
      </w:pPr>
      <w:r>
        <w:rPr>
          <w:bCs/>
          <w:b/>
        </w:rPr>
        <w:t xml:space="preserve">Materials Acquisition &amp; Pre-processing (7.41 kgCO2e/unit):</w:t>
      </w:r>
      <w:r>
        <w:t xml:space="preserve"> </w:t>
      </w:r>
      <w:r>
        <w:t xml:space="preserve">The embodied emissions in raw materials and components represent the second largest hotspot. Focusing on low-carbon materials, recycled content, and efficient material processing can significantly reduce this impact.</w:t>
      </w:r>
    </w:p>
    <w:p>
      <w:pPr>
        <w:numPr>
          <w:ilvl w:val="0"/>
          <w:numId w:val="1013"/>
        </w:numPr>
        <w:pStyle w:val="Compact"/>
      </w:pPr>
      <w:r>
        <w:rPr>
          <w:bCs/>
          <w:b/>
        </w:rPr>
        <w:t xml:space="preserve">Production/Manufacturing (Scope 2 - 3.5 kgCO2e/unit):</w:t>
      </w:r>
      <w:r>
        <w:t xml:space="preserve"> </w:t>
      </w:r>
      <w:r>
        <w:t xml:space="preserve">While smaller than the top two, the purchased electricity for manufacturing still presents a significant impact, especially given the assumed non-renewable portion of the energy mix in China. Increasing renewable energy usage beyond</w:t>
      </w:r>
      <w:r>
        <w:t xml:space="preserve"> </w:t>
      </w:r>
      <w:r>
        <w:rPr>
          <w:bCs/>
          <w:b/>
        </w:rPr>
        <w:t xml:space="preserve">wmjjpoujxz</w:t>
      </w:r>
      <w:r>
        <w:t xml:space="preserve"> </w:t>
      </w:r>
      <w:r>
        <w:t xml:space="preserve">(illustrative 50%) is an effective lever.</w:t>
      </w:r>
    </w:p>
    <w:bookmarkEnd w:id="48"/>
    <w:bookmarkStart w:id="49" w:name="reliability-statement"/>
    <w:p>
      <w:pPr>
        <w:pStyle w:val="Heading3"/>
      </w:pPr>
      <w:r>
        <w:t xml:space="preserve">5.2. Reliability Statement</w:t>
      </w:r>
    </w:p>
    <w:p>
      <w:pPr>
        <w:pStyle w:val="FirstParagraph"/>
      </w:pPr>
      <w:r>
        <w:t xml:space="preserve">This report provides a high-detail PCF analysis based on the parameters and methodological requirements provided. The calculations are illustrative, utilizing typical industry emission factors and assumed values for placeholder parameters where direct numerical data was not provided (e.g., for \'mfzkrhuf\', \'Select Mode\', etc.). The reliability of the reported PCF is directly dependent on the accuracy and completeness of the underlying data. To enhance reliability, primary data collection for all actual material quantities, specific transport modes and distances, and precise energy consumption figures for both production and use phases is recommended. The application of the GHG Protocol, 2026 LSR Update, and the commitment to 95% Scope 3 coverage ensure a comprehensive and robust framework for this assessment.</w:t>
      </w:r>
    </w:p>
    <w:bookmarkEnd w:id="49"/>
    <w:bookmarkStart w:id="51" w:name="recommendations-for-emission-reduction"/>
    <w:p>
      <w:pPr>
        <w:pStyle w:val="Heading3"/>
      </w:pPr>
      <w:r>
        <w:t xml:space="preserve">5.3. Recommendations for Emission Reduction</w:t>
      </w:r>
    </w:p>
    <w:p>
      <w:pPr>
        <w:numPr>
          <w:ilvl w:val="0"/>
          <w:numId w:val="1014"/>
        </w:numPr>
        <w:pStyle w:val="Compact"/>
      </w:pPr>
      <w:r>
        <w:rPr>
          <w:bCs/>
          <w:b/>
        </w:rPr>
        <w:t xml:space="preserve">Enhance Product Energy Efficiency:</w:t>
      </w:r>
      <w:r>
        <w:t xml:space="preserve"> </w:t>
      </w:r>
      <w:r>
        <w:t xml:space="preserve">Focus on R&amp;D to significantly reduce</w:t>
      </w:r>
      <w:r>
        <w:t xml:space="preserve"> </w:t>
      </w:r>
      <w:r>
        <w:rPr>
          <w:bCs/>
          <w:b/>
        </w:rPr>
        <w:t xml:space="preserve">qgpfryiqfl</w:t>
      </w:r>
      <w:r>
        <w:t xml:space="preserve"> </w:t>
      </w:r>
      <w:r>
        <w:t xml:space="preserve">(energy consumption in use). This has the largest potential for impact reduction.</w:t>
      </w:r>
    </w:p>
    <w:p>
      <w:pPr>
        <w:numPr>
          <w:ilvl w:val="0"/>
          <w:numId w:val="1014"/>
        </w:numPr>
        <w:pStyle w:val="Compact"/>
      </w:pPr>
      <w:r>
        <w:rPr>
          <w:bCs/>
          <w:b/>
        </w:rPr>
        <w:t xml:space="preserve">Sustainable Material Sourcing:</w:t>
      </w:r>
      <w:r>
        <w:t xml:space="preserve"> </w:t>
      </w:r>
      <w:r>
        <w:t xml:space="preserve">Explore and integrate lower-carbon alternatives for key components identified in the BOM. Increase the use of recycled content and ensure supply chain transparency for upstream emissions.</w:t>
      </w:r>
    </w:p>
    <w:p>
      <w:pPr>
        <w:numPr>
          <w:ilvl w:val="0"/>
          <w:numId w:val="1014"/>
        </w:numPr>
        <w:pStyle w:val="Compact"/>
      </w:pPr>
      <w:r>
        <w:rPr>
          <w:bCs/>
          <w:b/>
        </w:rPr>
        <w:t xml:space="preserve">Transition to 100% Renewable Energy:</w:t>
      </w:r>
      <w:r>
        <w:t xml:space="preserve"> </w:t>
      </w:r>
      <w:r>
        <w:t xml:space="preserve">Further increase the share of renewable energy (beyond</w:t>
      </w:r>
      <w:r>
        <w:t xml:space="preserve"> </w:t>
      </w:r>
      <w:r>
        <w:rPr>
          <w:bCs/>
          <w:b/>
        </w:rPr>
        <w:t xml:space="preserve">wmjjpoujxz</w:t>
      </w:r>
      <w:r>
        <w:t xml:space="preserve">) at the manufacturing facility to eliminate Scope 2 emissions.</w:t>
      </w:r>
    </w:p>
    <w:p>
      <w:pPr>
        <w:numPr>
          <w:ilvl w:val="0"/>
          <w:numId w:val="1014"/>
        </w:numPr>
        <w:pStyle w:val="Compact"/>
      </w:pPr>
      <w:r>
        <w:rPr>
          <w:bCs/>
          <w:b/>
        </w:rPr>
        <w:t xml:space="preserve">Optimize Logistics:</w:t>
      </w:r>
      <w:r>
        <w:t xml:space="preserve"> </w:t>
      </w:r>
      <w:r>
        <w:t xml:space="preserve">Investigate more efficient transport modes and routes, especially for inbound and outbound long-haul journeys.</w:t>
      </w:r>
    </w:p>
    <w:p>
      <w:pPr>
        <w:numPr>
          <w:ilvl w:val="0"/>
          <w:numId w:val="1014"/>
        </w:numPr>
        <w:pStyle w:val="Compact"/>
      </w:pPr>
      <w:r>
        <w:rPr>
          <w:bCs/>
          <w:b/>
        </w:rPr>
        <w:t xml:space="preserve">Strengthen Circular Economy Initiatives:</w:t>
      </w:r>
      <w:r>
        <w:t xml:space="preserve"> </w:t>
      </w:r>
      <w:r>
        <w:t xml:space="preserve">Expand</w:t>
      </w:r>
      <w:r>
        <w:t xml:space="preserve"> </w:t>
      </w:r>
      <w:r>
        <w:rPr>
          <w:bCs/>
          <w:b/>
        </w:rPr>
        <w:t xml:space="preserve">lwejkvopkn</w:t>
      </w:r>
      <w:r>
        <w:t xml:space="preserve"> </w:t>
      </w:r>
      <w:r>
        <w:t xml:space="preserve">(circular/take-back programs) and improve recyclability (beyond</w:t>
      </w:r>
      <w:r>
        <w:t xml:space="preserve"> </w:t>
      </w:r>
      <w:r>
        <w:rPr>
          <w:bCs/>
          <w:b/>
        </w:rPr>
        <w:t xml:space="preserve">ljtxwpojhy</w:t>
      </w:r>
      <w:r>
        <w:t xml:space="preserve">) to maximize avoided emissions at End-of-Life.</w:t>
      </w:r>
    </w:p>
    <w:p>
      <w:pPr>
        <w:numPr>
          <w:ilvl w:val="0"/>
          <w:numId w:val="1014"/>
        </w:numPr>
        <w:pStyle w:val="Compact"/>
      </w:pPr>
      <w:r>
        <w:rPr>
          <w:bCs/>
          <w:b/>
        </w:rPr>
        <w:t xml:space="preserve">LSR Data Collection:</w:t>
      </w:r>
      <w:r>
        <w:t xml:space="preserve"> </w:t>
      </w:r>
      <w:r>
        <w:t xml:space="preserve">If applicable, conduct a specific assessment for land use and biogenic carbon impacts, especially if materials like wood or bio-plastics are involved, to fully comply with the 2026 LSR Standard.</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qytuynihwf</dc:title>
  <dc:creator/>
  <dc:description>Detailed Product Carbon Footprint (PCF) analysis report for product qytuynihwf, performed by Senior Sustainability Consultant ksywnsyoop for emynwjjxmr, adhering to GHG Protocol standards and 2026 LSR Update.</dc:description>
  <dc:language>en</dc:language>
  <cp:keywords/>
  <dcterms:created xsi:type="dcterms:W3CDTF">2026-05-30T16:57:54Z</dcterms:created>
  <dcterms:modified xsi:type="dcterms:W3CDTF">2026-05-30T16:57:54Z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