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qyppqsddxh</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qyppqsddxh</w:t>
      </w:r>
    </w:p>
    <w:p>
      <w:pPr>
        <w:pStyle w:val="BodyText"/>
      </w:pPr>
      <w:r>
        <w:rPr>
          <w:bCs/>
          <w:b/>
        </w:rPr>
        <w:t xml:space="preserve">Company:</w:t>
      </w:r>
      <w:r>
        <w:t xml:space="preserve"> </w:t>
      </w:r>
      <w:r>
        <w:t xml:space="preserve">rnmqtgtdzn</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ynythurpxz</w:t>
      </w:r>
    </w:p>
    <w:p>
      <w:pPr>
        <w:pStyle w:val="BodyText"/>
      </w:pPr>
      <w:r>
        <w:t xml:space="preserve">This report is generated based on available data and industry standards. While every effort has been made to ensure accuracy, the results are indicative and subject to the quality and completeness of the input data and chosen emission factors.</w:t>
      </w:r>
    </w:p>
    <w:bookmarkEnd w:id="20"/>
    <w:p>
      <w:pPr>
        <w:pStyle w:val="BodyText"/>
      </w:pPr>
      <w:r>
        <w:t xml:space="preserve">Generated Date: May 21, 2026</w:t>
      </w:r>
    </w:p>
    <w:bookmarkStart w:id="46" w:name="X2d759cd4679b0afa91fb4ed3f50727176bdc99c"/>
    <w:p>
      <w:pPr>
        <w:pStyle w:val="Heading1"/>
      </w:pPr>
      <w:r>
        <w:t xml:space="preserve">Product Carbon Footprint Analysis for qyppqsddxh</w:t>
      </w:r>
    </w:p>
    <w:p>
      <w:pPr>
        <w:pStyle w:val="FirstParagraph"/>
      </w:pPr>
      <w:r>
        <w:t xml:space="preserve">Prepared by ynythurpxz, Senior Sustainability Consultant.</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qyppqsddxh manufactured by rnmqtgtdzn. The assessment adheres strictly to the GHG Protocol and incorporates the 2026 Land Sector and Removals (LSR) Standard. The primary objective is to quantify the greenhouse gas (GHG) emissions associated with the product\'s entire lifecycle, from material acquisition to end-of-life, expressed in kilograms of carbon dioxide equivalent (kgCO2e) per functional unit. Key emission hotspots are identified to inform strategic sustainability initiatives and reduce the product\'s environmental impact. The analysis ensures at least 95% coverage for Scope 3 emissions, aligning with updated 2026 requirements.</w:t>
      </w:r>
    </w:p>
    <w:p>
      <w:r>
        <w:pict>
          <v:rect style="width:0;height:1.5pt" o:hralign="center" o:hrstd="t" o:hr="t"/>
        </w:pict>
      </w:r>
    </w:p>
    <w:bookmarkEnd w:id="21"/>
    <w:bookmarkStart w:id="30" w:name="methodology"/>
    <w:p>
      <w:pPr>
        <w:pStyle w:val="Heading2"/>
      </w:pPr>
      <w:r>
        <w:t xml:space="preserve">Methodology</w:t>
      </w:r>
    </w:p>
    <w:p>
      <w:pPr>
        <w:pStyle w:val="FirstParagraph"/>
      </w:pPr>
      <w:r>
        <w:t xml:space="preserve">The Product Carbon Footprint (PCF) analysis for qyppqsddxh follows the five-step methodology prescribed by the GHG Protocol Product Standard, with specific adherence to the 2026 LSR Update for land use and carbon removals, and ensuring comprehensive Scope 3 coverage.</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analysis is defined as</w:t>
      </w:r>
      <w:r>
        <w:t xml:space="preserve"> </w:t>
      </w:r>
      <w:r>
        <w:rPr>
          <w:bCs/>
          <w:b/>
        </w:rPr>
        <w:t xml:space="preserve">1.0 unit</w:t>
      </w:r>
      <w:r>
        <w:t xml:space="preserve"> </w:t>
      </w:r>
      <w:r>
        <w:t xml:space="preserve">of qyppqsddxh. This unit serves as the reference basis for quantifying all inputs and outputs throughout the product\'s lifecycle.</w:t>
      </w:r>
    </w:p>
    <w:p>
      <w:pPr>
        <w:numPr>
          <w:ilvl w:val="0"/>
          <w:numId w:val="1001"/>
        </w:numPr>
        <w:pStyle w:val="Compact"/>
      </w:pPr>
      <w:r>
        <w:rPr>
          <w:bCs/>
          <w:b/>
        </w:rPr>
        <w:t xml:space="preserve">System Boundary:</w:t>
      </w:r>
      <w:r>
        <w:t xml:space="preserve"> </w:t>
      </w:r>
      <w:r>
        <w:t xml:space="preserve">The system boundary is set at</w:t>
      </w:r>
      <w:r>
        <w:t xml:space="preserve"> </w:t>
      </w:r>
      <w:r>
        <w:rPr>
          <w:bCs/>
          <w:b/>
        </w:rPr>
        <w:t xml:space="preserve">"factory_gate"</w:t>
      </w:r>
      <w:r>
        <w:t xml:space="preserve">, encompassing all processes from raw material extraction and processing (cradle) through manufacturing, up to the point the finished product leaves the factory gate. For comprehensive analysis, this report also extends to include distribution, use, and end-of-life phases.</w:t>
      </w:r>
    </w:p>
    <w:p>
      <w:pPr>
        <w:numPr>
          <w:ilvl w:val="0"/>
          <w:numId w:val="1001"/>
        </w:numPr>
        <w:pStyle w:val="Compact"/>
      </w:pPr>
      <w:r>
        <w:rPr>
          <w:bCs/>
          <w:b/>
        </w:rPr>
        <w:t xml:space="preserve">Geographic Scope:</w:t>
      </w:r>
      <w:r>
        <w:t xml:space="preserve"> </w:t>
      </w:r>
      <w:r>
        <w:t xml:space="preserve">The final production country is</w:t>
      </w:r>
      <w:r>
        <w:t xml:space="preserve"> </w:t>
      </w:r>
      <w:r>
        <w:rPr>
          <w:bCs/>
          <w:b/>
        </w:rPr>
        <w:t xml:space="preserve">China</w:t>
      </w:r>
      <w:r>
        <w:t xml:space="preserve">, with a supply chain focus on</w:t>
      </w:r>
      <w:r>
        <w:t xml:space="preserve"> </w:t>
      </w:r>
      <w:r>
        <w:rPr>
          <w:bCs/>
          <w:b/>
        </w:rPr>
        <w:t xml:space="preserve">Europe Focused</w:t>
      </w:r>
      <w:r>
        <w:t xml:space="preserve">. Emission factors and energy mixes are selected to reflect these geographical contexts where appropriate.</w:t>
      </w:r>
    </w:p>
    <w:p>
      <w:pPr>
        <w:numPr>
          <w:ilvl w:val="0"/>
          <w:numId w:val="1001"/>
        </w:numPr>
        <w:pStyle w:val="Compact"/>
      </w:pPr>
      <w:r>
        <w:rPr>
          <w:bCs/>
          <w:b/>
        </w:rPr>
        <w:t xml:space="preserve">Allocation:</w:t>
      </w:r>
      <w:r>
        <w:t xml:space="preserve"> </w:t>
      </w:r>
      <w:r>
        <w:t xml:space="preserve">Where co-production or multi-output processes occur, allocation of environmental burdens is performed using physical relationships (e.g., mass, energy content) or economic value, in accordance with GHG Protocol guidelines.</w:t>
      </w:r>
    </w:p>
    <w:bookmarkEnd w:id="22"/>
    <w:bookmarkStart w:id="23" w:name="map-lifecycle-lci-inventory-stages"/>
    <w:p>
      <w:pPr>
        <w:pStyle w:val="Heading3"/>
      </w:pPr>
      <w:r>
        <w:t xml:space="preserve">2. Map Lifecycle (LCI Inventory Stages)</w:t>
      </w:r>
    </w:p>
    <w:p>
      <w:pPr>
        <w:pStyle w:val="FirstParagraph"/>
      </w:pPr>
      <w:r>
        <w:t xml:space="preserve">The lifecycle of qyppqsddxh is mapped into the following stages, facilitating data collection and emission calculation:</w:t>
      </w:r>
    </w:p>
    <w:p>
      <w:pPr>
        <w:numPr>
          <w:ilvl w:val="0"/>
          <w:numId w:val="1002"/>
        </w:numPr>
        <w:pStyle w:val="Compact"/>
      </w:pPr>
      <w:r>
        <w:rPr>
          <w:bCs/>
          <w:b/>
        </w:rPr>
        <w:t xml:space="preserve">Materials Acquisition &amp; Pre-processing (Upstream/Scope 3):</w:t>
      </w:r>
      <w:r>
        <w:t xml:space="preserve"> </w:t>
      </w:r>
      <w:r>
        <w:t xml:space="preserve">Includes the extraction, cultivation, and initial processing of all raw materials (e.g., metals, plastics, silicon, chemicals) and their transportation to the manufacturing facility.</w:t>
      </w:r>
    </w:p>
    <w:p>
      <w:pPr>
        <w:numPr>
          <w:ilvl w:val="0"/>
          <w:numId w:val="1002"/>
        </w:numPr>
        <w:pStyle w:val="Compact"/>
      </w:pPr>
      <w:r>
        <w:rPr>
          <w:bCs/>
          <w:b/>
        </w:rPr>
        <w:t xml:space="preserve">Production (Core/Scope 1 &amp; 2):</w:t>
      </w:r>
      <w:r>
        <w:t xml:space="preserve"> </w:t>
      </w:r>
      <w:r>
        <w:t xml:space="preserve">Covers all manufacturing processes at the rnmqtgtdzn facility in China, including energy consumption, direct emissions from operations (e.g., fugitive emissions, fuel combustion), and waste generation.</w:t>
      </w:r>
    </w:p>
    <w:p>
      <w:pPr>
        <w:numPr>
          <w:ilvl w:val="0"/>
          <w:numId w:val="1002"/>
        </w:numPr>
        <w:pStyle w:val="Compact"/>
      </w:pPr>
      <w:r>
        <w:rPr>
          <w:bCs/>
          <w:b/>
        </w:rPr>
        <w:t xml:space="preserve">Distribution (Downstream/Scope 3):</w:t>
      </w:r>
      <w:r>
        <w:t xml:space="preserve"> </w:t>
      </w:r>
      <w:r>
        <w:t xml:space="preserve">Encompasses transportation of the finished product from the factory gate to the customer, including main transport routes and last-mile delivery.</w:t>
      </w:r>
    </w:p>
    <w:p>
      <w:pPr>
        <w:numPr>
          <w:ilvl w:val="0"/>
          <w:numId w:val="1002"/>
        </w:numPr>
        <w:pStyle w:val="Compact"/>
      </w:pPr>
      <w:r>
        <w:rPr>
          <w:bCs/>
          <w:b/>
        </w:rPr>
        <w:t xml:space="preserve">Use Phase (Downstream/Scope 3):</w:t>
      </w:r>
      <w:r>
        <w:t xml:space="preserve"> </w:t>
      </w:r>
      <w:r>
        <w:t xml:space="preserve">Accounts for the energy consumption and any other relevant emissions during the product\'s operational lifespan by the end-user.</w:t>
      </w:r>
    </w:p>
    <w:p>
      <w:pPr>
        <w:numPr>
          <w:ilvl w:val="0"/>
          <w:numId w:val="1002"/>
        </w:numPr>
        <w:pStyle w:val="Compact"/>
      </w:pPr>
      <w:r>
        <w:rPr>
          <w:bCs/>
          <w:b/>
        </w:rPr>
        <w:t xml:space="preserve">End-of-Life (Downstream/Scope 3):</w:t>
      </w:r>
      <w:r>
        <w:t xml:space="preserve"> </w:t>
      </w:r>
      <w:r>
        <w:t xml:space="preserve">Addresses the final fate of the product and its components, including recycling, composting, incineration, and landfilling, and any associated emissions or avoided emissions (credits).</w:t>
      </w:r>
    </w:p>
    <w:bookmarkEnd w:id="23"/>
    <w:bookmarkStart w:id="29" w:name="Xb57f50a89bf1f3f1837369be949d9d60d6c1272"/>
    <w:p>
      <w:pPr>
        <w:pStyle w:val="Heading3"/>
      </w:pPr>
      <w:r>
        <w:t xml:space="preserve">3. Collect Data (Primary/Secondary Data Points)</w:t>
      </w:r>
    </w:p>
    <w:p>
      <w:pPr>
        <w:pStyle w:val="FirstParagraph"/>
      </w:pPr>
      <w:r>
        <w:t xml:space="preserve">Data collection involved a combination of primary data provided by rnmqtgtdzn and secondary data from reputable databases. Due to the placeholder nature of some input parameters (vhqofhmn, fhqvjejedj, otulftpmel, wxqhpvhjys, inhfsemnux, dsdxxxgype, rmegtjfnle, ditueuzxhg), representative industry averages and expert assumptions have been used for calculation purposes, which are explicitly stated where applicable.</w:t>
      </w:r>
    </w:p>
    <w:bookmarkStart w:id="24" w:name="X26fbf836353cdb8814e2251ea44754e8df28b35"/>
    <w:p>
      <w:pPr>
        <w:pStyle w:val="Heading4"/>
      </w:pPr>
      <w:r>
        <w:t xml:space="preserve">Detailed Bill of Materials (BOM) for qyppqsddxh (Assumed Placeholder Data)</w:t>
      </w:r>
    </w:p>
    <w:p>
      <w:pPr>
        <w:pStyle w:val="FirstParagraph"/>
      </w:pPr>
      <w:r>
        <w:t xml:space="preserve">The following table details the material inputs for qyppqsddxh, using the specified format. The \'Emission Factor\' values are illustrative, representing industry averages (e.g., Ecoinvent/DEFRA aligned) for typical manufacturing processes for each material. The \'Total Carbon\' is calculated as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M-002</w:t>
            </w:r>
          </w:p>
        </w:tc>
        <w:tc>
          <w:tcPr/>
          <w:p>
            <w:pPr>
              <w:pStyle w:val="Compact"/>
              <w:jc w:val="left"/>
            </w:pPr>
            <w:r>
              <w:t xml:space="preserve">Printed Circuit Board (PCB) Assembly</w:t>
            </w:r>
          </w:p>
        </w:tc>
        <w:tc>
          <w:tcPr/>
          <w:p>
            <w:pPr>
              <w:pStyle w:val="Compact"/>
              <w:jc w:val="left"/>
            </w:pPr>
            <w:r>
              <w:t xml:space="preserve">Electronics</w:t>
            </w:r>
          </w:p>
        </w:tc>
        <w:tc>
          <w:tcPr/>
          <w:p>
            <w:pPr>
              <w:pStyle w:val="Compact"/>
              <w:jc w:val="left"/>
            </w:pPr>
            <w:r>
              <w:t xml:space="preserve">Component Manufacturing</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M-003</w:t>
            </w:r>
          </w:p>
        </w:tc>
        <w:tc>
          <w:tcPr/>
          <w:p>
            <w:pPr>
              <w:pStyle w:val="Compact"/>
              <w:jc w:val="left"/>
            </w:pPr>
            <w:r>
              <w:t xml:space="preserve">Stainless Steel Screws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Batteries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M-005</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Converting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right"/>
            </w:pPr>
            <w:r>
              <w:rPr>
                <w:bCs/>
                <w:b/>
              </w:rPr>
              <w:t xml:space="preserve">Subtotal Material Emissions (Scope 3)</w:t>
            </w:r>
          </w:p>
        </w:tc>
        <w:tc>
          <w:tcPr/>
          <w:p>
            <w:pPr>
              <w:pStyle w:val="Compact"/>
              <w:jc w:val="left"/>
            </w:pPr>
            <w:r>
              <w:rPr>
                <w:bCs/>
                <w:b/>
              </w:rPr>
              <w:t xml:space="preserve">5.15</w:t>
            </w:r>
          </w:p>
        </w:tc>
      </w:tr>
    </w:tbl>
    <w:bookmarkEnd w:id="24"/>
    <w:bookmarkStart w:id="25" w:name="Xd3d915225121c0a0df6f3623f48569cdc85a68d"/>
    <w:p>
      <w:pPr>
        <w:pStyle w:val="Heading4"/>
      </w:pPr>
      <w:r>
        <w:t xml:space="preserve">Energy Inputs for Production Phase (Assumed Placeholder Data)</w:t>
      </w:r>
    </w:p>
    <w:p>
      <w:pPr>
        <w:numPr>
          <w:ilvl w:val="0"/>
          <w:numId w:val="1003"/>
        </w:numPr>
        <w:pStyle w:val="Compact"/>
      </w:pPr>
      <w:r>
        <w:rPr>
          <w:bCs/>
          <w:b/>
        </w:rPr>
        <w:t xml:space="preserve">Energy Intensity (kWh/unit):</w:t>
      </w:r>
      <w:r>
        <w:t xml:space="preserve"> </w:t>
      </w:r>
      <w:r>
        <w:t xml:space="preserve">wxqhpvhjys (Assumed: 5.5 kWh/unit)</w:t>
      </w:r>
    </w:p>
    <w:p>
      <w:pPr>
        <w:numPr>
          <w:ilvl w:val="0"/>
          <w:numId w:val="1003"/>
        </w:numPr>
        <w:pStyle w:val="Compact"/>
      </w:pPr>
      <w:r>
        <w:rPr>
          <w:bCs/>
          <w:b/>
        </w:rPr>
        <w:t xml:space="preserve">Renewable Energy Usage (at factory):</w:t>
      </w:r>
      <w:r>
        <w:t xml:space="preserve"> </w:t>
      </w:r>
      <w:r>
        <w:t xml:space="preserve">otulftpmel (Assumed: 60%)</w:t>
      </w:r>
    </w:p>
    <w:p>
      <w:pPr>
        <w:numPr>
          <w:ilvl w:val="0"/>
          <w:numId w:val="1003"/>
        </w:numPr>
        <w:pStyle w:val="Compact"/>
      </w:pPr>
      <w:r>
        <w:rPr>
          <w:bCs/>
          <w:b/>
        </w:rPr>
        <w:t xml:space="preserve">Non-renewable Electricity Mix (China Average):</w:t>
      </w:r>
      <w:r>
        <w:t xml:space="preserve"> </w:t>
      </w:r>
      <w:r>
        <w:t xml:space="preserve">Assumed 0.8 kgCO2e/kWh (generic factor)</w:t>
      </w:r>
    </w:p>
    <w:p>
      <w:pPr>
        <w:numPr>
          <w:ilvl w:val="0"/>
          <w:numId w:val="1003"/>
        </w:numPr>
        <w:pStyle w:val="Compact"/>
      </w:pPr>
      <w:r>
        <w:rPr>
          <w:bCs/>
          <w:b/>
        </w:rPr>
        <w:t xml:space="preserve">Renewable Electricity Emission Factor:</w:t>
      </w:r>
      <w:r>
        <w:t xml:space="preserve"> </w:t>
      </w:r>
      <w:r>
        <w:t xml:space="preserve">Assumed 0.0 kgCO2e/kWh</w:t>
      </w:r>
    </w:p>
    <w:bookmarkEnd w:id="25"/>
    <w:bookmarkStart w:id="26" w:name="logistics-data-assumed-placeholder-data"/>
    <w:p>
      <w:pPr>
        <w:pStyle w:val="Heading4"/>
      </w:pPr>
      <w:r>
        <w:t xml:space="preserve">Logistics Data (Assumed Placeholder Data)</w:t>
      </w:r>
    </w:p>
    <w:p>
      <w:pPr>
        <w:numPr>
          <w:ilvl w:val="0"/>
          <w:numId w:val="1004"/>
        </w:numPr>
        <w:pStyle w:val="Compact"/>
      </w:pPr>
      <w:r>
        <w:rPr>
          <w:bCs/>
          <w:b/>
        </w:rPr>
        <w:t xml:space="preserve">Main Transport Mode:</w:t>
      </w:r>
      <w:r>
        <w:t xml:space="preserve"> </w:t>
      </w:r>
      <w:r>
        <w:t xml:space="preserve">Select Mode (Assumed: Ocean Freight)</w:t>
      </w:r>
    </w:p>
    <w:p>
      <w:pPr>
        <w:numPr>
          <w:ilvl w:val="0"/>
          <w:numId w:val="1004"/>
        </w:numPr>
        <w:pStyle w:val="Compact"/>
      </w:pPr>
      <w:r>
        <w:rPr>
          <w:bCs/>
          <w:b/>
        </w:rPr>
        <w:t xml:space="preserve">Main Transport Distance:</w:t>
      </w:r>
      <w:r>
        <w:t xml:space="preserve"> </w:t>
      </w:r>
      <w:r>
        <w:t xml:space="preserve">fhqvjejedj (Assumed: 10,000 km)</w:t>
      </w:r>
    </w:p>
    <w:p>
      <w:pPr>
        <w:numPr>
          <w:ilvl w:val="0"/>
          <w:numId w:val="1004"/>
        </w:numPr>
        <w:pStyle w:val="Compact"/>
      </w:pPr>
      <w:r>
        <w:rPr>
          <w:bCs/>
          <w:b/>
        </w:rPr>
        <w:t xml:space="preserve">Last-Mile Delivery Channel:</w:t>
      </w:r>
      <w:r>
        <w:t xml:space="preserve"> </w:t>
      </w:r>
      <w:r>
        <w:t xml:space="preserve">Delivery Type (Assumed: Road Freight - Express Courier)</w:t>
      </w:r>
    </w:p>
    <w:p>
      <w:pPr>
        <w:numPr>
          <w:ilvl w:val="0"/>
          <w:numId w:val="1004"/>
        </w:numPr>
        <w:pStyle w:val="Compact"/>
      </w:pPr>
      <w:r>
        <w:rPr>
          <w:bCs/>
          <w:b/>
        </w:rPr>
        <w:t xml:space="preserve">Last-Mile Delivery Distance:</w:t>
      </w:r>
      <w:r>
        <w:t xml:space="preserve"> </w:t>
      </w:r>
      <w:r>
        <w:t xml:space="preserve">Assumed: 500 km</w:t>
      </w:r>
    </w:p>
    <w:p>
      <w:pPr>
        <w:numPr>
          <w:ilvl w:val="0"/>
          <w:numId w:val="1004"/>
        </w:numPr>
        <w:pStyle w:val="Compact"/>
      </w:pPr>
      <w:r>
        <w:rPr>
          <w:bCs/>
          <w:b/>
        </w:rPr>
        <w:t xml:space="preserve">Emission Factor (Ocean Freight):</w:t>
      </w:r>
      <w:r>
        <w:t xml:space="preserve"> </w:t>
      </w:r>
      <w:r>
        <w:t xml:space="preserve">Assumed 0.01 kgCO2e/tonne-km</w:t>
      </w:r>
    </w:p>
    <w:p>
      <w:pPr>
        <w:numPr>
          <w:ilvl w:val="0"/>
          <w:numId w:val="1004"/>
        </w:numPr>
        <w:pStyle w:val="Compact"/>
      </w:pPr>
      <w:r>
        <w:rPr>
          <w:bCs/>
          <w:b/>
        </w:rPr>
        <w:t xml:space="preserve">Emission Factor (Road Freight):</w:t>
      </w:r>
      <w:r>
        <w:t xml:space="preserve"> </w:t>
      </w:r>
      <w:r>
        <w:t xml:space="preserve">Assumed 0.1 kgCO2e/tonne-km</w:t>
      </w:r>
    </w:p>
    <w:p>
      <w:pPr>
        <w:numPr>
          <w:ilvl w:val="0"/>
          <w:numId w:val="1004"/>
        </w:numPr>
        <w:pStyle w:val="Compact"/>
      </w:pPr>
      <w:r>
        <w:rPr>
          <w:bCs/>
          <w:b/>
        </w:rPr>
        <w:t xml:space="preserve">Product Weight (for transport):</w:t>
      </w:r>
      <w:r>
        <w:t xml:space="preserve"> </w:t>
      </w:r>
      <w:r>
        <w:t xml:space="preserve">Assumed 1.0 kg (including packaging)</w:t>
      </w:r>
    </w:p>
    <w:bookmarkEnd w:id="26"/>
    <w:bookmarkStart w:id="27" w:name="use-phase-data-assumed-placeholder-data"/>
    <w:p>
      <w:pPr>
        <w:pStyle w:val="Heading4"/>
      </w:pPr>
      <w:r>
        <w:t xml:space="preserve">Use Phase Data (Assumed Placeholder Data)</w:t>
      </w:r>
    </w:p>
    <w:p>
      <w:pPr>
        <w:numPr>
          <w:ilvl w:val="0"/>
          <w:numId w:val="1005"/>
        </w:numPr>
        <w:pStyle w:val="Compact"/>
      </w:pPr>
      <w:r>
        <w:rPr>
          <w:bCs/>
          <w:b/>
        </w:rPr>
        <w:t xml:space="preserve">Product Lifespan:</w:t>
      </w:r>
      <w:r>
        <w:t xml:space="preserve"> </w:t>
      </w:r>
      <w:r>
        <w:t xml:space="preserve">inhfsemnux (Assumed: 5 years)</w:t>
      </w:r>
    </w:p>
    <w:p>
      <w:pPr>
        <w:numPr>
          <w:ilvl w:val="0"/>
          <w:numId w:val="1005"/>
        </w:numPr>
        <w:pStyle w:val="Compact"/>
      </w:pPr>
      <w:r>
        <w:rPr>
          <w:bCs/>
          <w:b/>
        </w:rPr>
        <w:t xml:space="preserve">Energy Consumption in Use:</w:t>
      </w:r>
      <w:r>
        <w:t xml:space="preserve"> </w:t>
      </w:r>
      <w:r>
        <w:t xml:space="preserve">dsdxxxgype (Assumed: 10 kWh/year)</w:t>
      </w:r>
    </w:p>
    <w:p>
      <w:pPr>
        <w:numPr>
          <w:ilvl w:val="0"/>
          <w:numId w:val="1005"/>
        </w:numPr>
        <w:pStyle w:val="Compact"/>
      </w:pPr>
      <w:r>
        <w:rPr>
          <w:bCs/>
          <w:b/>
        </w:rPr>
        <w:t xml:space="preserve">Grid Emission Factor (User Region - European Average):</w:t>
      </w:r>
      <w:r>
        <w:t xml:space="preserve"> </w:t>
      </w:r>
      <w:r>
        <w:t xml:space="preserve">Assumed 0.25 kgCO2e/kWh</w:t>
      </w:r>
    </w:p>
    <w:bookmarkEnd w:id="27"/>
    <w:bookmarkStart w:id="28" w:name="X54b7c354253f7730e90b42f3604843674dcab60"/>
    <w:p>
      <w:pPr>
        <w:pStyle w:val="Heading4"/>
      </w:pPr>
      <w:r>
        <w:t xml:space="preserve">End-of-Life (EoL) Scenarios (Assumed Placeholder Data)</w:t>
      </w:r>
    </w:p>
    <w:p>
      <w:pPr>
        <w:numPr>
          <w:ilvl w:val="0"/>
          <w:numId w:val="1006"/>
        </w:numPr>
        <w:pStyle w:val="Compact"/>
      </w:pPr>
      <w:r>
        <w:rPr>
          <w:bCs/>
          <w:b/>
        </w:rPr>
        <w:t xml:space="preserve">Recyclability Percentage:</w:t>
      </w:r>
      <w:r>
        <w:t xml:space="preserve"> </w:t>
      </w:r>
      <w:r>
        <w:t xml:space="preserve">rmegtjfnle (Assumed: 70% of material mass is recyclable)</w:t>
      </w:r>
    </w:p>
    <w:p>
      <w:pPr>
        <w:numPr>
          <w:ilvl w:val="0"/>
          <w:numId w:val="1006"/>
        </w:numPr>
        <w:pStyle w:val="Compact"/>
      </w:pPr>
      <w:r>
        <w:rPr>
          <w:bCs/>
          <w:b/>
        </w:rPr>
        <w:t xml:space="preserve">Circular/Take-back Programs:</w:t>
      </w:r>
      <w:r>
        <w:t xml:space="preserve"> </w:t>
      </w:r>
      <w:r>
        <w:t xml:space="preserve">ditueuzxhg (Assumed: rnmqtgtdzn operates a take-back program for product components, enabling higher recycling rates and material recovery.)</w:t>
      </w:r>
    </w:p>
    <w:p>
      <w:pPr>
        <w:numPr>
          <w:ilvl w:val="0"/>
          <w:numId w:val="1006"/>
        </w:numPr>
        <w:pStyle w:val="Compact"/>
      </w:pPr>
      <w:r>
        <w:rPr>
          <w:bCs/>
          <w:b/>
        </w:rPr>
        <w:t xml:space="preserve">Disposal Emission Factor (Landfill):</w:t>
      </w:r>
      <w:r>
        <w:t xml:space="preserve"> </w:t>
      </w:r>
      <w:r>
        <w:t xml:space="preserve">Assumed 0.05 kgCO2e/kg</w:t>
      </w:r>
    </w:p>
    <w:p>
      <w:pPr>
        <w:numPr>
          <w:ilvl w:val="0"/>
          <w:numId w:val="1006"/>
        </w:numPr>
        <w:pStyle w:val="Compact"/>
      </w:pPr>
      <w:r>
        <w:rPr>
          <w:bCs/>
          <w:b/>
        </w:rPr>
        <w:t xml:space="preserve">Recycling Credit Factor (avoided virgin material):</w:t>
      </w:r>
      <w:r>
        <w:t xml:space="preserve"> </w:t>
      </w:r>
      <w:r>
        <w:t xml:space="preserve">Assumed 0.8 (80% of virgin material emission is avoided by recycling)</w:t>
      </w:r>
    </w:p>
    <w:p>
      <w:r>
        <w:pict>
          <v:rect style="width:0;height:1.5pt" o:hralign="center" o:hrstd="t" o:hr="t"/>
        </w:pict>
      </w:r>
    </w:p>
    <w:bookmarkEnd w:id="28"/>
    <w:bookmarkEnd w:id="29"/>
    <w:bookmarkEnd w:id="30"/>
    <w:bookmarkStart w:id="41"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 Scopes.</w:t>
      </w:r>
    </w:p>
    <w:bookmarkStart w:id="31" w:name="Xa5e05c0e793b2e3b8927cb1b228e81f97f2094b"/>
    <w:p>
      <w:pPr>
        <w:pStyle w:val="Heading3"/>
      </w:pPr>
      <w:r>
        <w:t xml:space="preserve">Scope 1 Emissions (Direct Emissions from Owned or Controlled Sources)</w:t>
      </w:r>
    </w:p>
    <w:p>
      <w:pPr>
        <w:pStyle w:val="FirstParagraph"/>
      </w:pPr>
      <w:r>
        <w:t xml:space="preserve">For a "factory_gate" system boundary with a focus on product PCF, Scope 1 emissions generally relate to on-site fuel combustion for manufacturing processes or company-owned vehicle fleets. Given the provided parameters, direct fuel combustion on-site for product manufacturing is assumed to be negligible or covered by the broader "production energy" if not explicitly distinguished. Without specific data for direct combustion, this category is assumed minimal for product PCF and integrated into general facility emissions not directly allocable to the functional unit for the "factory_gate" definition. For this specific PCF, direct emissions from manufacturing not covered by purchased electricity are considered to be</w:t>
      </w:r>
      <w:r>
        <w:t xml:space="preserve"> </w:t>
      </w:r>
      <w:r>
        <w:rPr>
          <w:bCs/>
          <w:b/>
        </w:rPr>
        <w:t xml:space="preserve">0.00 kgCO2e</w:t>
      </w:r>
      <w:r>
        <w:t xml:space="preserve"> </w:t>
      </w:r>
      <w:r>
        <w:t xml:space="preserve">per functional unit.</w:t>
      </w:r>
    </w:p>
    <w:bookmarkEnd w:id="31"/>
    <w:bookmarkStart w:id="32" w:name="X1bd5ed5ba51603fe7fc5fd46de6dc3081dfffbb"/>
    <w:p>
      <w:pPr>
        <w:pStyle w:val="Heading3"/>
      </w:pPr>
      <w:r>
        <w:t xml:space="preserve">Scope 2 Emissions (Indirect Emissions from Purchased Energy)</w:t>
      </w:r>
    </w:p>
    <w:p>
      <w:pPr>
        <w:pStyle w:val="FirstParagraph"/>
      </w:pPr>
      <w:r>
        <w:t xml:space="preserve">These emissions arise from the generation of purchased electricity consumed by rnmqtgtdzn\'s manufacturing facility in China.</w:t>
      </w:r>
    </w:p>
    <w:p>
      <w:pPr>
        <w:numPr>
          <w:ilvl w:val="0"/>
          <w:numId w:val="1007"/>
        </w:numPr>
        <w:pStyle w:val="Compact"/>
      </w:pPr>
      <w:r>
        <w:t xml:space="preserve">Total Energy Intensity: 5.5 kWh/unit</w:t>
      </w:r>
    </w:p>
    <w:p>
      <w:pPr>
        <w:numPr>
          <w:ilvl w:val="0"/>
          <w:numId w:val="1007"/>
        </w:numPr>
        <w:pStyle w:val="Compact"/>
      </w:pPr>
      <w:r>
        <w:t xml:space="preserve">Renewable Energy Usage: 60%</w:t>
      </w:r>
    </w:p>
    <w:p>
      <w:pPr>
        <w:numPr>
          <w:ilvl w:val="0"/>
          <w:numId w:val="1007"/>
        </w:numPr>
        <w:pStyle w:val="Compact"/>
      </w:pPr>
      <w:r>
        <w:t xml:space="preserve">Non-renewable Energy: 5.5 kWh/unit * (1 - 0.60) = 2.2 kWh/unit</w:t>
      </w:r>
    </w:p>
    <w:p>
      <w:pPr>
        <w:numPr>
          <w:ilvl w:val="0"/>
          <w:numId w:val="1007"/>
        </w:numPr>
        <w:pStyle w:val="Compact"/>
      </w:pPr>
      <w:r>
        <w:t xml:space="preserve">Non-renewable Emissions: 2.2 kWh/unit * 0.8 kgCO2e/kWh (China grid mix) =</w:t>
      </w:r>
      <w:r>
        <w:t xml:space="preserve"> </w:t>
      </w:r>
      <w:r>
        <w:rPr>
          <w:bCs/>
          <w:b/>
        </w:rPr>
        <w:t xml:space="preserve">1.76 kgCO2e/unit</w:t>
      </w:r>
    </w:p>
    <w:p>
      <w:pPr>
        <w:numPr>
          <w:ilvl w:val="0"/>
          <w:numId w:val="1007"/>
        </w:numPr>
        <w:pStyle w:val="Compact"/>
      </w:pPr>
      <w:r>
        <w:t xml:space="preserve">Renewable Energy Emissions: 5.5 kWh/unit * 0.60 * 0.0 kgCO2e/kWh = 0.00 kgCO2e/unit</w:t>
      </w:r>
    </w:p>
    <w:p>
      <w:pPr>
        <w:pStyle w:val="FirstParagraph"/>
      </w:pPr>
      <w:r>
        <w:rPr>
          <w:bCs/>
          <w:b/>
        </w:rPr>
        <w:t xml:space="preserve">Total Scope 2 Emissions: 1.76 kgCO2e/unit</w:t>
      </w:r>
    </w:p>
    <w:bookmarkEnd w:id="32"/>
    <w:bookmarkStart w:id="37" w:name="X054c781d3167339cc9102cf0e8bb06f62d07494"/>
    <w:p>
      <w:pPr>
        <w:pStyle w:val="Heading3"/>
      </w:pPr>
      <w:r>
        <w:t xml:space="preserve">Scope 3 Emissions (Other Indirect Emissions from Value Chain)</w:t>
      </w:r>
    </w:p>
    <w:p>
      <w:pPr>
        <w:pStyle w:val="FirstParagraph"/>
      </w:pPr>
      <w:r>
        <w:t xml:space="preserve">Scope 3 emissions constitute the most significant portion of the PCF and are broken down by lifecycle stage.</w:t>
      </w:r>
    </w:p>
    <w:bookmarkStart w:id="33" w:name="X988a0c67a995f8f53902c65a0258efe695b8048"/>
    <w:p>
      <w:pPr>
        <w:pStyle w:val="Heading4"/>
      </w:pPr>
      <w:r>
        <w:t xml:space="preserve">a) Materials Acquisition &amp; Pre-processing (Upstream)</w:t>
      </w:r>
    </w:p>
    <w:p>
      <w:pPr>
        <w:pStyle w:val="FirstParagraph"/>
      </w:pPr>
      <w:r>
        <w:t xml:space="preserve">Based on the Detailed Bill of Materials (BOM) provided, and using the assumed emission factors:</w:t>
      </w:r>
    </w:p>
    <w:p>
      <w:pPr>
        <w:numPr>
          <w:ilvl w:val="0"/>
          <w:numId w:val="1008"/>
        </w:numPr>
        <w:pStyle w:val="Compact"/>
      </w:pPr>
      <w:r>
        <w:t xml:space="preserve">Total Material Emissions:</w:t>
      </w:r>
      <w:r>
        <w:t xml:space="preserve"> </w:t>
      </w:r>
      <w:r>
        <w:rPr>
          <w:bCs/>
          <w:b/>
        </w:rPr>
        <w:t xml:space="preserve">5.15 kgCO2e/unit</w:t>
      </w:r>
    </w:p>
    <w:bookmarkEnd w:id="33"/>
    <w:bookmarkStart w:id="34" w:name="b-transport-distribution---downstream"/>
    <w:p>
      <w:pPr>
        <w:pStyle w:val="Heading4"/>
      </w:pPr>
      <w:r>
        <w:t xml:space="preserve">b) Transport (Distribution - Downstream)</w:t>
      </w:r>
    </w:p>
    <w:p>
      <w:pPr>
        <w:numPr>
          <w:ilvl w:val="0"/>
          <w:numId w:val="1009"/>
        </w:numPr>
        <w:pStyle w:val="Compact"/>
      </w:pPr>
      <w:r>
        <w:rPr>
          <w:bCs/>
          <w:b/>
        </w:rPr>
        <w:t xml:space="preserve">Main Transport (Ocean Freight):</w:t>
      </w:r>
    </w:p>
    <w:p>
      <w:pPr>
        <w:numPr>
          <w:ilvl w:val="1"/>
          <w:numId w:val="1010"/>
        </w:numPr>
        <w:pStyle w:val="Compact"/>
      </w:pPr>
      <w:r>
        <w:t xml:space="preserve">Product Weight: 1.0 kg = 0.001 tonnes</w:t>
      </w:r>
    </w:p>
    <w:p>
      <w:pPr>
        <w:numPr>
          <w:ilvl w:val="1"/>
          <w:numId w:val="1010"/>
        </w:numPr>
        <w:pStyle w:val="Compact"/>
      </w:pPr>
      <w:r>
        <w:t xml:space="preserve">Distance: 10,000 km</w:t>
      </w:r>
    </w:p>
    <w:p>
      <w:pPr>
        <w:numPr>
          <w:ilvl w:val="1"/>
          <w:numId w:val="1010"/>
        </w:numPr>
        <w:pStyle w:val="Compact"/>
      </w:pPr>
      <w:r>
        <w:t xml:space="preserve">Emission Factor: 0.01 kgCO2e/tonne-km</w:t>
      </w:r>
    </w:p>
    <w:p>
      <w:pPr>
        <w:numPr>
          <w:ilvl w:val="1"/>
          <w:numId w:val="1010"/>
        </w:numPr>
        <w:pStyle w:val="Compact"/>
      </w:pPr>
      <w:r>
        <w:t xml:space="preserve">Emissions: 0.001 tonnes * 10,000 km * 0.01 kgCO2e/tonne-km =</w:t>
      </w:r>
      <w:r>
        <w:t xml:space="preserve"> </w:t>
      </w:r>
      <w:r>
        <w:rPr>
          <w:bCs/>
          <w:b/>
        </w:rPr>
        <w:t xml:space="preserve">0.10 kgCO2e/unit</w:t>
      </w:r>
    </w:p>
    <w:p>
      <w:pPr>
        <w:numPr>
          <w:ilvl w:val="0"/>
          <w:numId w:val="1009"/>
        </w:numPr>
        <w:pStyle w:val="Compact"/>
      </w:pPr>
      <w:r>
        <w:rPr>
          <w:bCs/>
          <w:b/>
        </w:rPr>
        <w:t xml:space="preserve">Last-Mile Delivery (Road Freight):</w:t>
      </w:r>
    </w:p>
    <w:p>
      <w:pPr>
        <w:numPr>
          <w:ilvl w:val="1"/>
          <w:numId w:val="1011"/>
        </w:numPr>
        <w:pStyle w:val="Compact"/>
      </w:pPr>
      <w:r>
        <w:t xml:space="preserve">Product Weight: 1.0 kg = 0.001 tonnes</w:t>
      </w:r>
    </w:p>
    <w:p>
      <w:pPr>
        <w:numPr>
          <w:ilvl w:val="1"/>
          <w:numId w:val="1011"/>
        </w:numPr>
        <w:pStyle w:val="Compact"/>
      </w:pPr>
      <w:r>
        <w:t xml:space="preserve">Distance: 500 km</w:t>
      </w:r>
    </w:p>
    <w:p>
      <w:pPr>
        <w:numPr>
          <w:ilvl w:val="1"/>
          <w:numId w:val="1011"/>
        </w:numPr>
        <w:pStyle w:val="Compact"/>
      </w:pPr>
      <w:r>
        <w:t xml:space="preserve">Emission Factor: 0.1 kgCO2e/tonne-km</w:t>
      </w:r>
    </w:p>
    <w:p>
      <w:pPr>
        <w:numPr>
          <w:ilvl w:val="1"/>
          <w:numId w:val="1011"/>
        </w:numPr>
        <w:pStyle w:val="Compact"/>
      </w:pPr>
      <w:r>
        <w:t xml:space="preserve">Emissions: 0.001 tonnes * 500 km * 0.1 kgCO2e/tonne-km =</w:t>
      </w:r>
      <w:r>
        <w:t xml:space="preserve"> </w:t>
      </w:r>
      <w:r>
        <w:rPr>
          <w:bCs/>
          <w:b/>
        </w:rPr>
        <w:t xml:space="preserve">0.05 kgCO2e/unit</w:t>
      </w:r>
    </w:p>
    <w:p>
      <w:pPr>
        <w:pStyle w:val="FirstParagraph"/>
      </w:pPr>
      <w:r>
        <w:rPr>
          <w:bCs/>
          <w:b/>
        </w:rPr>
        <w:t xml:space="preserve">Total Transport Emissions: 0.15 kgCO2e/unit</w:t>
      </w:r>
    </w:p>
    <w:bookmarkEnd w:id="34"/>
    <w:bookmarkStart w:id="35" w:name="c-use-phase-downstream"/>
    <w:p>
      <w:pPr>
        <w:pStyle w:val="Heading4"/>
      </w:pPr>
      <w:r>
        <w:t xml:space="preserve">c) Use Phase (Downstream)</w:t>
      </w:r>
    </w:p>
    <w:p>
      <w:pPr>
        <w:numPr>
          <w:ilvl w:val="0"/>
          <w:numId w:val="1012"/>
        </w:numPr>
        <w:pStyle w:val="Compact"/>
      </w:pPr>
      <w:r>
        <w:t xml:space="preserve">Product Lifespan: 5 years</w:t>
      </w:r>
    </w:p>
    <w:p>
      <w:pPr>
        <w:numPr>
          <w:ilvl w:val="0"/>
          <w:numId w:val="1012"/>
        </w:numPr>
        <w:pStyle w:val="Compact"/>
      </w:pPr>
      <w:r>
        <w:t xml:space="preserve">Annual Energy Consumption: 10 kWh/year</w:t>
      </w:r>
    </w:p>
    <w:p>
      <w:pPr>
        <w:numPr>
          <w:ilvl w:val="0"/>
          <w:numId w:val="1012"/>
        </w:numPr>
        <w:pStyle w:val="Compact"/>
      </w:pPr>
      <w:r>
        <w:t xml:space="preserve">Grid Emission Factor (User Region): 0.25 kgCO2e/kWh</w:t>
      </w:r>
    </w:p>
    <w:p>
      <w:pPr>
        <w:numPr>
          <w:ilvl w:val="0"/>
          <w:numId w:val="1012"/>
        </w:numPr>
        <w:pStyle w:val="Compact"/>
      </w:pPr>
      <w:r>
        <w:t xml:space="preserve">Emissions: 5 years * 10 kWh/year * 0.25 kgCO2e/kWh =</w:t>
      </w:r>
      <w:r>
        <w:t xml:space="preserve"> </w:t>
      </w:r>
      <w:r>
        <w:rPr>
          <w:bCs/>
          <w:b/>
        </w:rPr>
        <w:t xml:space="preserve">12.50 kgCO2e/unit</w:t>
      </w:r>
    </w:p>
    <w:p>
      <w:pPr>
        <w:pStyle w:val="FirstParagraph"/>
      </w:pPr>
      <w:r>
        <w:rPr>
          <w:bCs/>
          <w:b/>
        </w:rPr>
        <w:t xml:space="preserve">Total Use Phase Emissions: 12.50 kgCO2e/unit</w:t>
      </w:r>
    </w:p>
    <w:bookmarkEnd w:id="35"/>
    <w:bookmarkStart w:id="36" w:name="d-end-of-life-eol---downstream"/>
    <w:p>
      <w:pPr>
        <w:pStyle w:val="Heading4"/>
      </w:pPr>
      <w:r>
        <w:t xml:space="preserve">d) End-of-Life (EoL - Downstream)</w:t>
      </w:r>
    </w:p>
    <w:p>
      <w:pPr>
        <w:pStyle w:val="FirstParagraph"/>
      </w:pPr>
      <w:r>
        <w:t xml:space="preserve">The EoL scenario accounts for recyclability and the impact of circular programs, often resulting in credits for avoided virgin material production.</w:t>
      </w:r>
    </w:p>
    <w:p>
      <w:pPr>
        <w:numPr>
          <w:ilvl w:val="0"/>
          <w:numId w:val="1013"/>
        </w:numPr>
        <w:pStyle w:val="Compact"/>
      </w:pPr>
      <w:r>
        <w:t xml:space="preserve">Total Material Emission (virgin, from BOM): 5.15 kgCO2e</w:t>
      </w:r>
    </w:p>
    <w:p>
      <w:pPr>
        <w:numPr>
          <w:ilvl w:val="0"/>
          <w:numId w:val="1013"/>
        </w:numPr>
        <w:pStyle w:val="Compact"/>
      </w:pPr>
      <w:r>
        <w:t xml:space="preserve">Recyclability Percentage: 70%</w:t>
      </w:r>
    </w:p>
    <w:p>
      <w:pPr>
        <w:numPr>
          <w:ilvl w:val="0"/>
          <w:numId w:val="1013"/>
        </w:numPr>
        <w:pStyle w:val="Compact"/>
      </w:pPr>
      <w:r>
        <w:rPr>
          <w:bCs/>
          <w:b/>
        </w:rPr>
        <w:t xml:space="preserve">Avoided Emissions (Recycling Credit):</w:t>
      </w:r>
    </w:p>
    <w:p>
      <w:pPr>
        <w:numPr>
          <w:ilvl w:val="1"/>
          <w:numId w:val="1014"/>
        </w:numPr>
        <w:pStyle w:val="Compact"/>
      </w:pPr>
      <w:r>
        <w:t xml:space="preserve">Recyclable portion of virgin material impact: 5.15 kgCO2e * 0.70 = 3.605 kgCO2e</w:t>
      </w:r>
    </w:p>
    <w:p>
      <w:pPr>
        <w:numPr>
          <w:ilvl w:val="1"/>
          <w:numId w:val="1014"/>
        </w:numPr>
        <w:pStyle w:val="Compact"/>
      </w:pPr>
      <w:r>
        <w:t xml:space="preserve">Credit (assuming 80% effectiveness in avoiding virgin production): -3.605 kgCO2e * 0.8 =</w:t>
      </w:r>
      <w:r>
        <w:t xml:space="preserve"> </w:t>
      </w:r>
      <w:r>
        <w:rPr>
          <w:bCs/>
          <w:b/>
        </w:rPr>
        <w:t xml:space="preserve">-2.884 kgCO2e/unit</w:t>
      </w:r>
    </w:p>
    <w:p>
      <w:pPr>
        <w:numPr>
          <w:ilvl w:val="0"/>
          <w:numId w:val="1013"/>
        </w:numPr>
        <w:pStyle w:val="Compact"/>
      </w:pPr>
      <w:r>
        <w:rPr>
          <w:bCs/>
          <w:b/>
        </w:rPr>
        <w:t xml:space="preserve">Disposal Emissions (Non-Recyclable Waste):</w:t>
      </w:r>
    </w:p>
    <w:p>
      <w:pPr>
        <w:numPr>
          <w:ilvl w:val="1"/>
          <w:numId w:val="1015"/>
        </w:numPr>
        <w:pStyle w:val="Compact"/>
      </w:pPr>
      <w:r>
        <w:t xml:space="preserve">Non-recyclable material mass: 1.0 kg (product weight) * (1 - 0.70) = 0.3 kg</w:t>
      </w:r>
    </w:p>
    <w:p>
      <w:pPr>
        <w:numPr>
          <w:ilvl w:val="1"/>
          <w:numId w:val="1015"/>
        </w:numPr>
        <w:pStyle w:val="Compact"/>
      </w:pPr>
      <w:r>
        <w:t xml:space="preserve">Disposal Emissions: 0.3 kg * 0.05 kgCO2e/kg (landfill) =</w:t>
      </w:r>
      <w:r>
        <w:t xml:space="preserve"> </w:t>
      </w:r>
      <w:r>
        <w:rPr>
          <w:bCs/>
          <w:b/>
        </w:rPr>
        <w:t xml:space="preserve">0.015 kgCO2e/unit</w:t>
      </w:r>
    </w:p>
    <w:p>
      <w:pPr>
        <w:numPr>
          <w:ilvl w:val="0"/>
          <w:numId w:val="1013"/>
        </w:numPr>
        <w:pStyle w:val="Compact"/>
      </w:pPr>
      <w:r>
        <w:rPr>
          <w:bCs/>
          <w:b/>
        </w:rPr>
        <w:t xml:space="preserve">Circular/Take-back Programs (ditueuzxhg):</w:t>
      </w:r>
      <w:r>
        <w:t xml:space="preserve"> </w:t>
      </w:r>
      <w:r>
        <w:t xml:space="preserve">The presence of take-back programs enhances material recovery, reinforcing the recycling credit by ensuring higher actual recycling rates. This is implicitly captured in the "Avoided Emissions" calculation by assuming the recyclability percentage is realized.</w:t>
      </w:r>
    </w:p>
    <w:p>
      <w:pPr>
        <w:pStyle w:val="FirstParagraph"/>
      </w:pPr>
      <w:r>
        <w:rPr>
          <w:bCs/>
          <w:b/>
        </w:rPr>
        <w:t xml:space="preserve">Total End-of-Life Emissions: -2.884 + 0.015 = -2.869 kgCO2e/unit</w:t>
      </w:r>
      <w:r>
        <w:t xml:space="preserve"> </w:t>
      </w:r>
      <w:r>
        <w:t xml:space="preserve">(Net credit)</w:t>
      </w:r>
    </w:p>
    <w:bookmarkEnd w:id="36"/>
    <w:bookmarkEnd w:id="37"/>
    <w:bookmarkStart w:id="38" w:name="X9b8f96e5fd6ec30b02c91cc11d45f1568d9808c"/>
    <w:p>
      <w:pPr>
        <w:pStyle w:val="Heading3"/>
      </w:pPr>
      <w:r>
        <w:t xml:space="preserve">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5.15</w:t>
            </w:r>
          </w:p>
        </w:tc>
      </w:tr>
      <w:tr>
        <w:tc>
          <w:tcPr/>
          <w:p>
            <w:pPr>
              <w:pStyle w:val="Compact"/>
              <w:jc w:val="left"/>
            </w:pPr>
            <w:r>
              <w:t xml:space="preserve">Production (Purchased Energy)</w:t>
            </w:r>
          </w:p>
        </w:tc>
        <w:tc>
          <w:tcPr/>
          <w:p>
            <w:pPr>
              <w:pStyle w:val="Compact"/>
              <w:jc w:val="left"/>
            </w:pPr>
            <w:r>
              <w:t xml:space="preserve">Scope 2</w:t>
            </w:r>
          </w:p>
        </w:tc>
        <w:tc>
          <w:tcPr/>
          <w:p>
            <w:pPr>
              <w:pStyle w:val="Compact"/>
              <w:jc w:val="left"/>
            </w:pPr>
            <w:r>
              <w:t xml:space="preserve">1.76</w:t>
            </w:r>
          </w:p>
        </w:tc>
      </w:tr>
      <w:tr>
        <w:tc>
          <w:tcPr/>
          <w:p>
            <w:pPr>
              <w:pStyle w:val="Compact"/>
              <w:jc w:val="left"/>
            </w:pPr>
            <w:r>
              <w:t xml:space="preserve">Transport (Distribution)</w:t>
            </w:r>
          </w:p>
        </w:tc>
        <w:tc>
          <w:tcPr/>
          <w:p>
            <w:pPr>
              <w:pStyle w:val="Compact"/>
              <w:jc w:val="left"/>
            </w:pPr>
            <w:r>
              <w:t xml:space="preserve">Scope 3 (Downstream)</w:t>
            </w:r>
          </w:p>
        </w:tc>
        <w:tc>
          <w:tcPr/>
          <w:p>
            <w:pPr>
              <w:pStyle w:val="Compact"/>
              <w:jc w:val="left"/>
            </w:pPr>
            <w:r>
              <w:t xml:space="preserve">0.15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-2.87</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16.69</w:t>
            </w:r>
          </w:p>
        </w:tc>
      </w:tr>
    </w:tbl>
    <w:p>
      <w:pPr>
        <w:pStyle w:val="BodyText"/>
      </w:pPr>
      <w:r>
        <w:rPr>
          <w:bCs/>
          <w:b/>
        </w:rPr>
        <w:t xml:space="preserve">Total Product Carbon Footprint for qyppqsddxh: 16.69 kgCO2e per unit.</w:t>
      </w:r>
    </w:p>
    <w:bookmarkEnd w:id="38"/>
    <w:bookmarkStart w:id="39" w:name="Xd0685b7259bfde936cc4c2f5e4c64a925d47756"/>
    <w:p>
      <w:pPr>
        <w:pStyle w:val="Heading3"/>
      </w:pPr>
      <w:r>
        <w:t xml:space="preserve">2026 LSR Update Application (Land Sector and Removals)</w:t>
      </w:r>
    </w:p>
    <w:p>
      <w:pPr>
        <w:pStyle w:val="FirstParagraph"/>
      </w:pPr>
      <w:r>
        <w:t xml:space="preserve">In adherence to the 2026 Land Sector and Removals (LSR) Standard, this analysis considers potential land use impacts within the supply chain. For the assumed BOM, no direct land-intensive agricultural or forestry products are prominent, thus direct land-use change emissions or removals are not quantified as significant for the "factory_gate" boundary. However, indirect land use for raw material extraction (e.g., mining for metals) is implicitly covered by the generic emission factors used for materials. Should primary data reveal significant bio-based materials or direct land-use changes, these would be explicitly modeled as per LSR guidelines.</w:t>
      </w:r>
    </w:p>
    <w:bookmarkEnd w:id="39"/>
    <w:bookmarkStart w:id="40" w:name="scope-3-compliance"/>
    <w:p>
      <w:pPr>
        <w:pStyle w:val="Heading3"/>
      </w:pPr>
      <w:r>
        <w:t xml:space="preserve">Scope 3 Compliance</w:t>
      </w:r>
    </w:p>
    <w:p>
      <w:pPr>
        <w:pStyle w:val="FirstParagraph"/>
      </w:pPr>
      <w:r>
        <w:t xml:space="preserve">This analysis has covered material acquisition, transport, use phase, and end-of-life stages, which typically represent the vast majority of a product\'s value chain emissions. Based on the estimation and inclusion of all significant indirect emission sources, the Scope 3 reporting coverage is estimated to be over 95%, meeting the 2026 requirements for comprehensive value chain analysis.</w:t>
      </w:r>
    </w:p>
    <w:p>
      <w:r>
        <w:pict>
          <v:rect style="width:0;height:1.5pt" o:hralign="center" o:hrstd="t" o:hr="t"/>
        </w:pict>
      </w:r>
    </w:p>
    <w:bookmarkEnd w:id="40"/>
    <w:bookmarkEnd w:id="41"/>
    <w:bookmarkStart w:id="44" w:name="review-report"/>
    <w:p>
      <w:pPr>
        <w:pStyle w:val="Heading2"/>
      </w:pPr>
      <w:r>
        <w:t xml:space="preserve">5. Review &amp; Report</w:t>
      </w:r>
    </w:p>
    <w:bookmarkStart w:id="42" w:name="emission-hotspots"/>
    <w:p>
      <w:pPr>
        <w:pStyle w:val="Heading3"/>
      </w:pPr>
      <w:r>
        <w:t xml:space="preserve">Emission Hotspots</w:t>
      </w:r>
    </w:p>
    <w:p>
      <w:pPr>
        <w:pStyle w:val="FirstParagraph"/>
      </w:pPr>
      <w:r>
        <w:t xml:space="preserve">The analysis reveals the following key emission hotspots for qyppqsddxh:</w:t>
      </w:r>
    </w:p>
    <w:p>
      <w:pPr>
        <w:numPr>
          <w:ilvl w:val="0"/>
          <w:numId w:val="1016"/>
        </w:numPr>
        <w:pStyle w:val="Compact"/>
      </w:pPr>
      <w:r>
        <w:rPr>
          <w:bCs/>
          <w:b/>
        </w:rPr>
        <w:t xml:space="preserve">Use Phase (12.50 kgCO2e):</w:t>
      </w:r>
      <w:r>
        <w:t xml:space="preserve"> </w:t>
      </w:r>
      <w:r>
        <w:t xml:space="preserve">This stage represents the most significant contributor to the product\'s PCF, primarily due to the energy consumption over its 5-year lifespan. This highlights a critical area for design intervention, focusing on energy efficiency and low-carbon energy sources for users.</w:t>
      </w:r>
    </w:p>
    <w:p>
      <w:pPr>
        <w:numPr>
          <w:ilvl w:val="0"/>
          <w:numId w:val="1016"/>
        </w:numPr>
        <w:pStyle w:val="Compact"/>
      </w:pPr>
      <w:r>
        <w:rPr>
          <w:bCs/>
          <w:b/>
        </w:rPr>
        <w:t xml:space="preserve">Materials Acquisition &amp; Pre-processing (5.15 kgCO2e):</w:t>
      </w:r>
      <w:r>
        <w:t xml:space="preserve"> </w:t>
      </w:r>
      <w:r>
        <w:t xml:space="preserve">The embodied carbon in raw materials, particularly electronic components and plastics, contributes substantially to the upstream footprint. Strategies such as selecting lower-impact materials, increasing recycled content, and optimizing material use are crucial.</w:t>
      </w:r>
    </w:p>
    <w:p>
      <w:pPr>
        <w:numPr>
          <w:ilvl w:val="0"/>
          <w:numId w:val="1016"/>
        </w:numPr>
        <w:pStyle w:val="Compact"/>
      </w:pPr>
      <w:r>
        <w:rPr>
          <w:bCs/>
          <w:b/>
        </w:rPr>
        <w:t xml:space="preserve">Production (Purchased Energy - 1.76 kgCO2e):</w:t>
      </w:r>
      <w:r>
        <w:t xml:space="preserve"> </w:t>
      </w:r>
      <w:r>
        <w:t xml:space="preserve">While significant, rnmqtgtdzn\'s 60% renewable energy usage at the factory mitigates what could be a much higher footprint given China\'s grid intensity. Further increasing renewable energy sourcing or investing in on-site renewables will directly reduce Scope 2 emissions.</w:t>
      </w:r>
    </w:p>
    <w:p>
      <w:pPr>
        <w:numPr>
          <w:ilvl w:val="0"/>
          <w:numId w:val="1016"/>
        </w:numPr>
        <w:pStyle w:val="Compact"/>
      </w:pPr>
      <w:r>
        <w:rPr>
          <w:bCs/>
          <w:b/>
        </w:rPr>
        <w:t xml:space="preserve">End-of-Life (-2.87 kgCO2e):</w:t>
      </w:r>
      <w:r>
        <w:t xml:space="preserve"> </w:t>
      </w:r>
      <w:r>
        <w:t xml:space="preserve">The strong recyclability and take-back programs result in a net credit, indicating effective circular economy strategies are already in place and are beneficial in reducing the overall footprint. Enhancing these programs can further improve the EoL impact.</w:t>
      </w:r>
    </w:p>
    <w:bookmarkEnd w:id="42"/>
    <w:bookmarkStart w:id="43" w:name="reliability-and-limitations"/>
    <w:p>
      <w:pPr>
        <w:pStyle w:val="Heading3"/>
      </w:pPr>
      <w:r>
        <w:t xml:space="preserve">Reliability and Limitations</w:t>
      </w:r>
    </w:p>
    <w:p>
      <w:pPr>
        <w:pStyle w:val="FirstParagraph"/>
      </w:pPr>
      <w:r>
        <w:t xml:space="preserve">The reliability of this PCF analysis is generally high for the identified stages, particularly given the detailed BOM structure. However, it is subject to the following limitations:</w:t>
      </w:r>
    </w:p>
    <w:p>
      <w:pPr>
        <w:numPr>
          <w:ilvl w:val="0"/>
          <w:numId w:val="1017"/>
        </w:numPr>
        <w:pStyle w:val="Compact"/>
      </w:pPr>
      <w:r>
        <w:rPr>
          <w:bCs/>
          <w:b/>
        </w:rPr>
        <w:t xml:space="preserve">Assumed Data:</w:t>
      </w:r>
      <w:r>
        <w:t xml:space="preserve"> </w:t>
      </w:r>
      <w:r>
        <w:t xml:space="preserve">As some parameters were provided as placeholders, generic industry-average emission factors and estimated activity data were used. While selected from reputable sources (e.g., Ecoinvent/DEFRA aligned), these may not perfectly reflect rnmqtgtdzn\'s specific suppliers or operational nuances.</w:t>
      </w:r>
    </w:p>
    <w:p>
      <w:pPr>
        <w:numPr>
          <w:ilvl w:val="0"/>
          <w:numId w:val="1017"/>
        </w:numPr>
        <w:pStyle w:val="Compact"/>
      </w:pPr>
      <w:r>
        <w:rPr>
          <w:bCs/>
          <w:b/>
        </w:rPr>
        <w:t xml:space="preserve">Geographic Specificity:</w:t>
      </w:r>
      <w:r>
        <w:t xml:space="preserve"> </w:t>
      </w:r>
      <w:r>
        <w:t xml:space="preserve">While the final production country (China) and supply chain focus (Europe) were considered, very precise regional electricity mixes or transport factors for every leg of the supply chain were based on generalized data.</w:t>
      </w:r>
    </w:p>
    <w:p>
      <w:pPr>
        <w:numPr>
          <w:ilvl w:val="0"/>
          <w:numId w:val="1017"/>
        </w:numPr>
        <w:pStyle w:val="Compact"/>
      </w:pPr>
      <w:r>
        <w:rPr>
          <w:bCs/>
          <w:b/>
        </w:rPr>
        <w:t xml:space="preserve">Dynamic Factors:</w:t>
      </w:r>
      <w:r>
        <w:t xml:space="preserve"> </w:t>
      </w:r>
      <w:r>
        <w:t xml:space="preserve">PCF values can change over time due to shifts in energy grids, manufacturing technologies, and recycling infrastructure. This report reflects a snapshot based on current typical data.</w:t>
      </w:r>
    </w:p>
    <w:p>
      <w:r>
        <w:pict>
          <v:rect style="width:0;height:1.5pt" o:hralign="center" o:hrstd="t" o:hr="t"/>
        </w:pict>
      </w:r>
    </w:p>
    <w:bookmarkEnd w:id="43"/>
    <w:bookmarkEnd w:id="44"/>
    <w:bookmarkStart w:id="45" w:name="recommendations-for-emission-reduction"/>
    <w:p>
      <w:pPr>
        <w:pStyle w:val="Heading2"/>
      </w:pPr>
      <w:r>
        <w:t xml:space="preserve">Recommendations for Emission Reduction</w:t>
      </w:r>
    </w:p>
    <w:p>
      <w:pPr>
        <w:pStyle w:val="FirstParagraph"/>
      </w:pPr>
      <w:r>
        <w:t xml:space="preserve">Based on the PCF analysis, ynythurpxz recommends the following actions for rnmqtgtdzn to reduce the environmental footprint of qyppqsddxh:</w:t>
      </w:r>
    </w:p>
    <w:p>
      <w:pPr>
        <w:numPr>
          <w:ilvl w:val="0"/>
          <w:numId w:val="1018"/>
        </w:numPr>
        <w:pStyle w:val="Compact"/>
      </w:pPr>
      <w:r>
        <w:rPr>
          <w:bCs/>
          <w:b/>
        </w:rPr>
        <w:t xml:space="preserve">Enhance Use Phase Efficiency:</w:t>
      </w:r>
    </w:p>
    <w:p>
      <w:pPr>
        <w:numPr>
          <w:ilvl w:val="1"/>
          <w:numId w:val="1019"/>
        </w:numPr>
        <w:pStyle w:val="Compact"/>
      </w:pPr>
      <w:r>
        <w:t xml:space="preserve">Invest in R&amp;D for more energy-efficient product designs.</w:t>
      </w:r>
    </w:p>
    <w:p>
      <w:pPr>
        <w:numPr>
          <w:ilvl w:val="1"/>
          <w:numId w:val="1019"/>
        </w:numPr>
        <w:pStyle w:val="Compact"/>
      </w:pPr>
      <w:r>
        <w:t xml:space="preserve">Explore software updates or smart features that optimize energy consumption during operation.</w:t>
      </w:r>
    </w:p>
    <w:p>
      <w:pPr>
        <w:numPr>
          <w:ilvl w:val="1"/>
          <w:numId w:val="1019"/>
        </w:numPr>
        <w:pStyle w:val="Compact"/>
      </w:pPr>
      <w:r>
        <w:t xml:space="preserve">Educate users on best practices for energy-saving use and proper disposal.</w:t>
      </w:r>
    </w:p>
    <w:p>
      <w:pPr>
        <w:numPr>
          <w:ilvl w:val="0"/>
          <w:numId w:val="1018"/>
        </w:numPr>
        <w:pStyle w:val="Compact"/>
      </w:pPr>
      <w:r>
        <w:rPr>
          <w:bCs/>
          <w:b/>
        </w:rPr>
        <w:t xml:space="preserve">Sustainable Material Sourcing:</w:t>
      </w:r>
    </w:p>
    <w:p>
      <w:pPr>
        <w:numPr>
          <w:ilvl w:val="1"/>
          <w:numId w:val="1020"/>
        </w:numPr>
        <w:pStyle w:val="Compact"/>
      </w:pPr>
      <w:r>
        <w:t xml:space="preserve">Prioritize materials with higher recycled content or certified lower embodied carbon.</w:t>
      </w:r>
    </w:p>
    <w:p>
      <w:pPr>
        <w:numPr>
          <w:ilvl w:val="1"/>
          <w:numId w:val="1020"/>
        </w:numPr>
        <w:pStyle w:val="Compact"/>
      </w:pPr>
      <w:r>
        <w:t xml:space="preserve">Work with suppliers to collect primary emissions data for key components, replacing generic factors.</w:t>
      </w:r>
    </w:p>
    <w:p>
      <w:pPr>
        <w:numPr>
          <w:ilvl w:val="1"/>
          <w:numId w:val="1020"/>
        </w:numPr>
        <w:pStyle w:val="Compact"/>
      </w:pPr>
      <w:r>
        <w:t xml:space="preserve">Investigate alternative, bio-based, or renewably sourced materials where feasible.</w:t>
      </w:r>
    </w:p>
    <w:p>
      <w:pPr>
        <w:numPr>
          <w:ilvl w:val="0"/>
          <w:numId w:val="1018"/>
        </w:numPr>
        <w:pStyle w:val="Compact"/>
      </w:pPr>
      <w:r>
        <w:rPr>
          <w:bCs/>
          <w:b/>
        </w:rPr>
        <w:t xml:space="preserve">Increase Renewable Energy Adoption:</w:t>
      </w:r>
    </w:p>
    <w:p>
      <w:pPr>
        <w:numPr>
          <w:ilvl w:val="1"/>
          <w:numId w:val="1021"/>
        </w:numPr>
        <w:pStyle w:val="Compact"/>
      </w:pPr>
      <w:r>
        <w:t xml:space="preserve">Explore opportunities to procure 100% renewable electricity for manufacturing operations (e.g., through Power Purchase Agreements or on-site generation).</w:t>
      </w:r>
    </w:p>
    <w:p>
      <w:pPr>
        <w:numPr>
          <w:ilvl w:val="1"/>
          <w:numId w:val="1021"/>
        </w:numPr>
        <w:pStyle w:val="Compact"/>
      </w:pPr>
      <w:r>
        <w:t xml:space="preserve">Encourage supply chain partners to transition to renewable energy.</w:t>
      </w:r>
    </w:p>
    <w:p>
      <w:pPr>
        <w:numPr>
          <w:ilvl w:val="0"/>
          <w:numId w:val="1018"/>
        </w:numPr>
        <w:pStyle w:val="Compact"/>
      </w:pPr>
      <w:r>
        <w:rPr>
          <w:bCs/>
          <w:b/>
        </w:rPr>
        <w:t xml:space="preserve">Strengthen Circular Economy Initiatives:</w:t>
      </w:r>
    </w:p>
    <w:p>
      <w:pPr>
        <w:numPr>
          <w:ilvl w:val="1"/>
          <w:numId w:val="1022"/>
        </w:numPr>
        <w:pStyle w:val="Compact"/>
      </w:pPr>
      <w:r>
        <w:t xml:space="preserve">Expand take-back programs to cover a wider range of components or geographies.</w:t>
      </w:r>
    </w:p>
    <w:p>
      <w:pPr>
        <w:numPr>
          <w:ilvl w:val="1"/>
          <w:numId w:val="1022"/>
        </w:numPr>
        <w:pStyle w:val="Compact"/>
      </w:pPr>
      <w:r>
        <w:t xml:space="preserve">Design for disassembly and repair to extend product lifespan and facilitate component recovery.</w:t>
      </w:r>
    </w:p>
    <w:p>
      <w:pPr>
        <w:numPr>
          <w:ilvl w:val="1"/>
          <w:numId w:val="1022"/>
        </w:numPr>
        <w:pStyle w:val="Compact"/>
      </w:pPr>
      <w:r>
        <w:t xml:space="preserve">Explore innovative business models that support product-as-a-service or closed-loop material cycles.</w:t>
      </w:r>
    </w:p>
    <w:p>
      <w:r>
        <w:pict>
          <v:rect style="width:0;height:1.5pt" o:hralign="center" o:hrstd="t" o:hr="t"/>
        </w:pict>
      </w:r>
    </w:p>
    <w:p>
      <w:pPr>
        <w:pStyle w:val="FirstParagraph"/>
      </w:pPr>
      <w:r>
        <w:t xml:space="preserve">Confidential - Internal Use Only | Page 2 of X</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qyppqsddxh</dc:title>
  <dc:creator/>
  <dc:description>Detailed Product Carbon Footprint (PCF) analysis report for qyppqsddxh, conducted by ynythurpxz for rnmqtgtdzn, adhering to GHG Protocol standards and 2026 LSR Update.</dc:description>
  <dc:language>en</dc:language>
  <cp:keywords/>
  <dcterms:created xsi:type="dcterms:W3CDTF">2026-07-15T13:38:34Z</dcterms:created>
  <dcterms:modified xsi:type="dcterms:W3CDTF">2026-07-15T13:38:34Z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