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qxuuruhtwt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qxuuruhtwt</w:t>
      </w:r>
    </w:p>
    <w:p>
      <w:pPr>
        <w:pStyle w:val="BodyText"/>
      </w:pPr>
      <w:r>
        <w:rPr>
          <w:bCs/>
          <w:b/>
        </w:rPr>
        <w:t xml:space="preserve">Company Name:</w:t>
      </w:r>
      <w:r>
        <w:t xml:space="preserve"> </w:t>
      </w:r>
      <w:r>
        <w:t xml:space="preserve">znyyhhnpuu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plxfyvjzkn</w:t>
      </w:r>
    </w:p>
    <w:p>
      <w:pPr>
        <w:pStyle w:val="BodyText"/>
      </w:pPr>
      <w:r>
        <w:t xml:space="preserve">Disclaimer: This report is generated based on available data and industry standards.</w:t>
      </w:r>
      <w:r>
        <w:t xml:space="preserve"> </w:t>
      </w:r>
      <w:r>
        <w:t xml:space="preserve">While every effort has been made to ensure accuracy, the results are indicative and</w:t>
      </w:r>
      <w:r>
        <w:t xml:space="preserve"> </w:t>
      </w:r>
      <w:r>
        <w:t xml:space="preserve">subject to the completeness and reliability of the input data.</w:t>
      </w:r>
    </w:p>
    <w:bookmarkEnd w:id="20"/>
    <w:bookmarkStart w:id="43" w:name="X870a464a2c1c9095fed3eef8b7499c3a4eb41c6"/>
    <w:p>
      <w:pPr>
        <w:pStyle w:val="Heading1"/>
      </w:pPr>
      <w:r>
        <w:t xml:space="preserve">Product Carbon Footprint Analysis for qxuuruhtwt</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qxuuruhtwt, manufactured by znyyhhnpuu.</w:t>
      </w:r>
      <w:r>
        <w:t xml:space="preserve"> </w:t>
      </w:r>
      <w:r>
        <w:t xml:space="preserve">The analysis adheres to the GHG Protocol accounting standard, incorporating the 2026 Land Sector and Removals (LSR) update and aiming for at least 95% Scope 3 coverage.</w:t>
      </w:r>
      <w:r>
        <w:t xml:space="preserve"> </w:t>
      </w:r>
      <w:r>
        <w:t xml:space="preserve">As Senior Sustainability Consultant plxfyvjzkn, this assessment provides a comprehensive understanding of the product\'s environmental impact across its lifecycle, from material sourcing and production to its use phase and end-of-life.</w:t>
      </w:r>
      <w:r>
        <w:t xml:space="preserve"> </w:t>
      </w:r>
      <w:r>
        <w:t xml:space="preserve">Key findings highlight emission hotspots and provide a foundation for strategic sustainability improvements.</w:t>
      </w:r>
    </w:p>
    <w:p>
      <w:r>
        <w:pict>
          <v:rect style="width:0;height:1.5pt" o:hralign="center" o:hrstd="t" o:hr="t"/>
        </w:pict>
      </w:r>
    </w:p>
    <w:bookmarkEnd w:id="21"/>
    <w:bookmarkStart w:id="24" w:name="methodology-and-scope-definition"/>
    <w:p>
      <w:pPr>
        <w:pStyle w:val="Heading2"/>
      </w:pPr>
      <w:r>
        <w:t xml:space="preserve">2. Methodology and Scope Definition</w:t>
      </w:r>
    </w:p>
    <w:p>
      <w:pPr>
        <w:pStyle w:val="FirstParagraph"/>
      </w:pPr>
      <w:r>
        <w:t xml:space="preserve">The Product Carbon Footprint (PCF) analysis for qxuuruhtwt follows a five-step methodology in line with the GHG Protocol Product Standard.</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qxuuruhtwt.</w:t>
      </w:r>
    </w:p>
    <w:p>
      <w:pPr>
        <w:numPr>
          <w:ilvl w:val="0"/>
          <w:numId w:val="1001"/>
        </w:numPr>
        <w:pStyle w:val="Compact"/>
      </w:pPr>
      <w:r>
        <w:rPr>
          <w:bCs/>
          <w:b/>
        </w:rPr>
        <w:t xml:space="preserve">System Boundary:</w:t>
      </w:r>
      <w:r>
        <w:t xml:space="preserve"> </w:t>
      </w:r>
      <w:r>
        <w:t xml:space="preserve">Cradle-to-grave, with specific focus on the \'factory_gate\' for direct production emissions, and extending to the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(Product Standard, incorporating 2026 LSR update).</w:t>
      </w:r>
    </w:p>
    <w:p>
      <w:pPr>
        <w:numPr>
          <w:ilvl w:val="0"/>
          <w:numId w:val="1001"/>
        </w:numPr>
        <w:pStyle w:val="Compact"/>
      </w:pPr>
      <w:r>
        <w:rPr>
          <w:bCs/>
          <w:b/>
        </w:rPr>
        <w:t xml:space="preserve">Allocation:</w:t>
      </w:r>
      <w:r>
        <w:t xml:space="preserve"> </w:t>
      </w:r>
      <w:r>
        <w:t xml:space="preserve">Emissions are allocated directly to the functional unit. For multi-product systems, mass or economic allocation would be considered, but for this single product PCF, direct allocation is applied.</w:t>
      </w:r>
    </w:p>
    <w:bookmarkEnd w:id="22"/>
    <w:bookmarkStart w:id="23" w:name="map-lifecycle-lci-inventory-stages"/>
    <w:p>
      <w:pPr>
        <w:pStyle w:val="Heading3"/>
      </w:pPr>
      <w:r>
        <w:t xml:space="preserve">2.2. Map Lifecycle (LCI Inventory Stages)</w:t>
      </w:r>
    </w:p>
    <w:p>
      <w:pPr>
        <w:pStyle w:val="FirstParagraph"/>
      </w:pPr>
      <w:r>
        <w:t xml:space="preserve">The lifecycle of qxuuruhtwt is mapped across the following stages:</w:t>
      </w:r>
    </w:p>
    <w:p>
      <w:pPr>
        <w:numPr>
          <w:ilvl w:val="0"/>
          <w:numId w:val="1002"/>
        </w:numPr>
        <w:pStyle w:val="Compact"/>
      </w:pPr>
      <w:r>
        <w:rPr>
          <w:bCs/>
          <w:b/>
        </w:rPr>
        <w:t xml:space="preserve">Raw Material Acquisition &amp; Pre-processing (Upstream - Scope 3):</w:t>
      </w:r>
      <w:r>
        <w:t xml:space="preserve"> </w:t>
      </w:r>
      <w:r>
        <w:t xml:space="preserve">Extraction, processing, and manufacturing of all components listed in the Detailed Bill of Materials (BOM).</w:t>
      </w:r>
    </w:p>
    <w:p>
      <w:pPr>
        <w:numPr>
          <w:ilvl w:val="0"/>
          <w:numId w:val="1002"/>
        </w:numPr>
        <w:pStyle w:val="Compact"/>
      </w:pPr>
      <w:r>
        <w:rPr>
          <w:bCs/>
          <w:b/>
        </w:rPr>
        <w:t xml:space="preserve">Production (Core - Scope 1 &amp; 2):</w:t>
      </w:r>
      <w:r>
        <w:t xml:space="preserve"> </w:t>
      </w:r>
      <w:r>
        <w:t xml:space="preserve">Manufacturing processes at znyyhhnpuu\'s facility, including energy consumption for assembly and direct emissions (if any).</w:t>
      </w:r>
    </w:p>
    <w:p>
      <w:pPr>
        <w:numPr>
          <w:ilvl w:val="0"/>
          <w:numId w:val="1002"/>
        </w:numPr>
        <w:pStyle w:val="Compact"/>
      </w:pPr>
      <w:r>
        <w:rPr>
          <w:bCs/>
          <w:b/>
        </w:rPr>
        <w:t xml:space="preserve">Transport &amp; Distribution (Upstream/Downstream - Scope 3):</w:t>
      </w:r>
      <w:r>
        <w:t xml:space="preserve"> </w:t>
      </w:r>
      <w:r>
        <w:t xml:space="preserve">Transportation of raw materials and components to the production facility (upstream) and distribution of the finished product to the customer (downstream, including last-mile delivery).</w:t>
      </w:r>
    </w:p>
    <w:p>
      <w:pPr>
        <w:numPr>
          <w:ilvl w:val="0"/>
          <w:numId w:val="1002"/>
        </w:numPr>
        <w:pStyle w:val="Compact"/>
      </w:pPr>
      <w:r>
        <w:rPr>
          <w:bCs/>
          <w:b/>
        </w:rPr>
        <w:t xml:space="preserve">Use Phase (Downstream - Scope 3):</w:t>
      </w:r>
      <w:r>
        <w:t xml:space="preserve"> </w:t>
      </w:r>
      <w:r>
        <w:t xml:space="preserve">Energy consumption during the product\'s operational lifespan.</w:t>
      </w:r>
    </w:p>
    <w:p>
      <w:pPr>
        <w:numPr>
          <w:ilvl w:val="0"/>
          <w:numId w:val="1002"/>
        </w:numPr>
        <w:pStyle w:val="Compact"/>
      </w:pPr>
      <w:r>
        <w:rPr>
          <w:bCs/>
          <w:b/>
        </w:rPr>
        <w:t xml:space="preserve">End-of-Life (Downstream - Scope 3):</w:t>
      </w:r>
      <w:r>
        <w:t xml:space="preserve"> </w:t>
      </w:r>
      <w:r>
        <w:t xml:space="preserve">Disposal, recycling, and recovery processes at the end of the product\'s life.</w:t>
      </w:r>
    </w:p>
    <w:p>
      <w:r>
        <w:pict>
          <v:rect style="width:0;height:1.5pt" o:hralign="center" o:hrstd="t" o:hr="t"/>
        </w:pict>
      </w:r>
    </w:p>
    <w:bookmarkEnd w:id="23"/>
    <w:bookmarkEnd w:id="24"/>
    <w:bookmarkStart w:id="30" w:name="data-collection-and-inputs"/>
    <w:p>
      <w:pPr>
        <w:pStyle w:val="Heading2"/>
      </w:pPr>
      <w:r>
        <w:t xml:space="preserve">3. Data Collection and Inputs</w:t>
      </w:r>
    </w:p>
    <w:p>
      <w:pPr>
        <w:pStyle w:val="FirstParagraph"/>
      </w:pPr>
      <w:r>
        <w:t xml:space="preserve">Primary and secondary data points were collected according to the defined scope. The Detailed Bill of Materials (BOM) was used for material inputs, and specific operational data for energy, transport, and end-of-life scenarios were incorporated.</w:t>
      </w:r>
    </w:p>
    <w:bookmarkStart w:id="25" w:name="Xb683686ae16d559f829514f58ee44439c0b6594"/>
    <w:p>
      <w:pPr>
        <w:pStyle w:val="Heading3"/>
      </w:pPr>
      <w:r>
        <w:t xml:space="preserve">3.1. Detailed Bill of Materials (BOM) Analysis (Raw Material Acquisition &amp; Pre-processing)</w:t>
      </w:r>
    </w:p>
    <w:p>
      <w:pPr>
        <w:pStyle w:val="FirstParagraph"/>
      </w:pPr>
      <w:r>
        <w:t xml:space="preserve">The following table details the Bill of Materials (BOM) for qxuuruhtwt, including the individual carbon footprint contribution (Total Carbon) for each component. These values are crucial for high-accuracy material impact calculation, overriding generic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ID1</w:t>
            </w:r>
          </w:p>
        </w:tc>
        <w:tc>
          <w:tcPr/>
          <w:p>
            <w:pPr>
              <w:pStyle w:val="Compact"/>
              <w:jc w:val="left"/>
            </w:pPr>
            <w:r>
              <w:t xml:space="preserve">Description1</w:t>
            </w:r>
          </w:p>
        </w:tc>
        <w:tc>
          <w:tcPr/>
          <w:p>
            <w:pPr>
              <w:pStyle w:val="Compact"/>
              <w:jc w:val="left"/>
            </w:pPr>
            <w:r>
              <w:t xml:space="preserve">Category1</w:t>
            </w:r>
          </w:p>
        </w:tc>
        <w:tc>
          <w:tcPr/>
          <w:p>
            <w:pPr>
              <w:pStyle w:val="Compact"/>
              <w:jc w:val="left"/>
            </w:pPr>
            <w:r>
              <w:t xml:space="preserve">Process1</w:t>
            </w:r>
          </w:p>
        </w:tc>
        <w:tc>
          <w:tcPr/>
          <w:p>
            <w:pPr>
              <w:pStyle w:val="Compact"/>
              <w:jc w:val="left"/>
            </w:pPr>
            <w:r>
              <w:t xml:space="preserve">10</w:t>
            </w:r>
          </w:p>
        </w:tc>
        <w:tc>
          <w:tcPr/>
          <w:p>
            <w:pPr>
              <w:pStyle w:val="Compact"/>
              <w:jc w:val="left"/>
            </w:pPr>
            <w:r>
              <w:t xml:space="preserve">g</w:t>
            </w:r>
          </w:p>
        </w:tc>
        <w:tc>
          <w:tcPr/>
          <w:p>
            <w:pPr>
              <w:pStyle w:val="Compact"/>
              <w:jc w:val="left"/>
            </w:pPr>
            <w:r>
              <w:t xml:space="preserve">0.005</w:t>
            </w:r>
          </w:p>
        </w:tc>
        <w:tc>
          <w:tcPr/>
          <w:p>
            <w:pPr>
              <w:pStyle w:val="Compact"/>
              <w:jc w:val="left"/>
            </w:pPr>
            <w:r>
              <w:t xml:space="preserve">0.05</w:t>
            </w:r>
          </w:p>
        </w:tc>
      </w:tr>
      <w:tr>
        <w:tc>
          <w:tcPr/>
          <w:p>
            <w:pPr>
              <w:pStyle w:val="Compact"/>
              <w:jc w:val="left"/>
            </w:pPr>
            <w:r>
              <w:t xml:space="preserve">ID2</w:t>
            </w:r>
          </w:p>
        </w:tc>
        <w:tc>
          <w:tcPr/>
          <w:p>
            <w:pPr>
              <w:pStyle w:val="Compact"/>
              <w:jc w:val="left"/>
            </w:pPr>
            <w:r>
              <w:t xml:space="preserve">Description2</w:t>
            </w:r>
          </w:p>
        </w:tc>
        <w:tc>
          <w:tcPr/>
          <w:p>
            <w:pPr>
              <w:pStyle w:val="Compact"/>
              <w:jc w:val="left"/>
            </w:pPr>
            <w:r>
              <w:t xml:space="preserve">Category2</w:t>
            </w:r>
          </w:p>
        </w:tc>
        <w:tc>
          <w:tcPr/>
          <w:p>
            <w:pPr>
              <w:pStyle w:val="Compact"/>
              <w:jc w:val="left"/>
            </w:pPr>
            <w:r>
              <w:t xml:space="preserve">Process2</w:t>
            </w:r>
          </w:p>
        </w:tc>
        <w:tc>
          <w:tcPr/>
          <w:p>
            <w:pPr>
              <w:pStyle w:val="Compact"/>
              <w:jc w:val="left"/>
            </w:pPr>
            <w:r>
              <w:t xml:space="preserve">5</w:t>
            </w:r>
          </w:p>
        </w:tc>
        <w:tc>
          <w:tcPr/>
          <w:p>
            <w:pPr>
              <w:pStyle w:val="Compact"/>
              <w:jc w:val="left"/>
            </w:pPr>
            <w:r>
              <w:t xml:space="preserve">kg</w:t>
            </w:r>
          </w:p>
        </w:tc>
        <w:tc>
          <w:tcPr/>
          <w:p>
            <w:pPr>
              <w:pStyle w:val="Compact"/>
              <w:jc w:val="left"/>
            </w:pPr>
            <w:r>
              <w:t xml:space="preserve">0.1</w:t>
            </w:r>
          </w:p>
        </w:tc>
        <w:tc>
          <w:tcPr/>
          <w:p>
            <w:pPr>
              <w:pStyle w:val="Compact"/>
              <w:jc w:val="left"/>
            </w:pPr>
            <w:r>
              <w:t xml:space="preserve">0.5</w:t>
            </w:r>
          </w:p>
        </w:tc>
      </w:tr>
      <w:tr>
        <w:tc>
          <w:tcPr/>
          <w:p>
            <w:pPr>
              <w:pStyle w:val="Compact"/>
              <w:jc w:val="left"/>
            </w:pPr>
            <w:r>
              <w:t xml:space="preserve">ID3</w:t>
            </w:r>
          </w:p>
        </w:tc>
        <w:tc>
          <w:tcPr/>
          <w:p>
            <w:pPr>
              <w:pStyle w:val="Compact"/>
              <w:jc w:val="left"/>
            </w:pPr>
            <w:r>
              <w:t xml:space="preserve">Description3</w:t>
            </w:r>
          </w:p>
        </w:tc>
        <w:tc>
          <w:tcPr/>
          <w:p>
            <w:pPr>
              <w:pStyle w:val="Compact"/>
              <w:jc w:val="left"/>
            </w:pPr>
            <w:r>
              <w:t xml:space="preserve">Category3</w:t>
            </w:r>
          </w:p>
        </w:tc>
        <w:tc>
          <w:tcPr/>
          <w:p>
            <w:pPr>
              <w:pStyle w:val="Compact"/>
              <w:jc w:val="left"/>
            </w:pPr>
            <w:r>
              <w:t xml:space="preserve">Process3</w:t>
            </w:r>
          </w:p>
        </w:tc>
        <w:tc>
          <w:tcPr/>
          <w:p>
            <w:pPr>
              <w:pStyle w:val="Compact"/>
              <w:jc w:val="left"/>
            </w:pPr>
            <w:r>
              <w:t xml:space="preserve">2</w:t>
            </w:r>
          </w:p>
        </w:tc>
        <w:tc>
          <w:tcPr/>
          <w:p>
            <w:pPr>
              <w:pStyle w:val="Compact"/>
              <w:jc w:val="left"/>
            </w:pPr>
            <w:r>
              <w:t xml:space="preserve">unit</w:t>
            </w:r>
          </w:p>
        </w:tc>
        <w:tc>
          <w:tcPr/>
          <w:p>
            <w:pPr>
              <w:pStyle w:val="Compact"/>
              <w:jc w:val="left"/>
            </w:pPr>
            <w:r>
              <w:t xml:space="preserve">0.02</w:t>
            </w:r>
          </w:p>
        </w:tc>
        <w:tc>
          <w:tcPr/>
          <w:p>
            <w:pPr>
              <w:pStyle w:val="Compact"/>
              <w:jc w:val="left"/>
            </w:pPr>
            <w:r>
              <w:t xml:space="preserve">0.04</w:t>
            </w:r>
          </w:p>
        </w:tc>
      </w:tr>
      <w:tr>
        <w:tc>
          <w:tcPr/>
          <w:p>
            <w:pPr>
              <w:pStyle w:val="Compact"/>
              <w:jc w:val="left"/>
            </w:pPr>
            <w:r>
              <w:t xml:space="preserve">ID4</w:t>
            </w:r>
          </w:p>
        </w:tc>
        <w:tc>
          <w:tcPr/>
          <w:p>
            <w:pPr>
              <w:pStyle w:val="Compact"/>
              <w:jc w:val="left"/>
            </w:pPr>
            <w:r>
              <w:t xml:space="preserve">Description4</w:t>
            </w:r>
          </w:p>
        </w:tc>
        <w:tc>
          <w:tcPr/>
          <w:p>
            <w:pPr>
              <w:pStyle w:val="Compact"/>
              <w:jc w:val="left"/>
            </w:pPr>
            <w:r>
              <w:t xml:space="preserve">Category4</w:t>
            </w:r>
          </w:p>
        </w:tc>
        <w:tc>
          <w:tcPr/>
          <w:p>
            <w:pPr>
              <w:pStyle w:val="Compact"/>
              <w:jc w:val="left"/>
            </w:pPr>
            <w:r>
              <w:t xml:space="preserve">Process4</w:t>
            </w:r>
          </w:p>
        </w:tc>
        <w:tc>
          <w:tcPr/>
          <w:p>
            <w:pPr>
              <w:pStyle w:val="Compact"/>
              <w:jc w:val="left"/>
            </w:pPr>
            <w:r>
              <w:t xml:space="preserve">1</w:t>
            </w:r>
          </w:p>
        </w:tc>
        <w:tc>
          <w:tcPr/>
          <w:p>
            <w:pPr>
              <w:pStyle w:val="Compact"/>
              <w:jc w:val="left"/>
            </w:pPr>
            <w:r>
              <w:t xml:space="preserve">m</w:t>
            </w:r>
          </w:p>
        </w:tc>
        <w:tc>
          <w:tcPr/>
          <w:p>
            <w:pPr>
              <w:pStyle w:val="Compact"/>
              <w:jc w:val="left"/>
            </w:pPr>
            <w:r>
              <w:t xml:space="preserve">0.01</w:t>
            </w:r>
          </w:p>
        </w:tc>
        <w:tc>
          <w:tcPr/>
          <w:p>
            <w:pPr>
              <w:pStyle w:val="Compact"/>
              <w:jc w:val="left"/>
            </w:pPr>
            <w:r>
              <w:t xml:space="preserve">0.01</w:t>
            </w:r>
          </w:p>
        </w:tc>
      </w:tr>
    </w:tbl>
    <w:bookmarkEnd w:id="25"/>
    <w:bookmarkStart w:id="26" w:name="production-phase-inputs-scope-1-2"/>
    <w:p>
      <w:pPr>
        <w:pStyle w:val="Heading3"/>
      </w:pPr>
      <w:r>
        <w:t xml:space="preserve">3.2. Production Phase Inputs (Scope 1 &amp; 2)</w:t>
      </w:r>
    </w:p>
    <w:p>
      <w:pPr>
        <w:numPr>
          <w:ilvl w:val="0"/>
          <w:numId w:val="1003"/>
        </w:numPr>
        <w:pStyle w:val="Compact"/>
      </w:pPr>
      <w:r>
        <w:rPr>
          <w:bCs/>
          <w:b/>
        </w:rPr>
        <w:t xml:space="preserve">Energy Intensity (kWh/unit):</w:t>
      </w:r>
      <w:r>
        <w:t xml:space="preserve"> </w:t>
      </w:r>
      <w:r>
        <w:t xml:space="preserve">hpdlxjjwto (assumed 10 kWh/unit for calculation).</w:t>
      </w:r>
    </w:p>
    <w:p>
      <w:pPr>
        <w:numPr>
          <w:ilvl w:val="0"/>
          <w:numId w:val="1003"/>
        </w:numPr>
        <w:pStyle w:val="Compact"/>
      </w:pPr>
      <w:r>
        <w:rPr>
          <w:bCs/>
          <w:b/>
        </w:rPr>
        <w:t xml:space="preserve">Renewable Energy Usage:</w:t>
      </w:r>
      <w:r>
        <w:t xml:space="preserve"> </w:t>
      </w:r>
      <w:r>
        <w:t xml:space="preserve">elzonheqih% (assumed 50% for calculation).</w:t>
      </w:r>
    </w:p>
    <w:p>
      <w:pPr>
        <w:numPr>
          <w:ilvl w:val="0"/>
          <w:numId w:val="1003"/>
        </w:numPr>
        <w:pStyle w:val="Compact"/>
      </w:pPr>
      <w:r>
        <w:rPr>
          <w:bCs/>
          <w:b/>
        </w:rPr>
        <w:t xml:space="preserve">Assumed Grid Electricity Emission Factor (China):</w:t>
      </w:r>
      <w:r>
        <w:t xml:space="preserve"> </w:t>
      </w:r>
      <w:r>
        <w:t xml:space="preserve">0.6 kgCO2e/kWh (Based on IEA/MEE averages for China).</w:t>
      </w:r>
    </w:p>
    <w:p>
      <w:pPr>
        <w:numPr>
          <w:ilvl w:val="0"/>
          <w:numId w:val="1003"/>
        </w:numPr>
        <w:pStyle w:val="Compact"/>
      </w:pPr>
      <w:r>
        <w:rPr>
          <w:bCs/>
          <w:b/>
        </w:rPr>
        <w:t xml:space="preserve">Assumed Renewable Electricity Emission Factor:</w:t>
      </w:r>
      <w:r>
        <w:t xml:space="preserve"> </w:t>
      </w:r>
      <w:r>
        <w:t xml:space="preserve">0.01 kgCO2e/kWh (Represents very low emissions from renewable sources).</w:t>
      </w:r>
    </w:p>
    <w:p>
      <w:pPr>
        <w:numPr>
          <w:ilvl w:val="0"/>
          <w:numId w:val="1003"/>
        </w:numPr>
        <w:pStyle w:val="Compact"/>
      </w:pPr>
      <w:r>
        <w:rPr>
          <w:bCs/>
          <w:b/>
        </w:rPr>
        <w:t xml:space="preserve">Direct Emissions (Scope 1):</w:t>
      </w:r>
      <w:r>
        <w:t xml:space="preserve"> </w:t>
      </w:r>
      <w:r>
        <w:t xml:space="preserve">Assumed 0 kgCO2e (negligible for product manufacturing without specific data).</w:t>
      </w:r>
    </w:p>
    <w:bookmarkEnd w:id="26"/>
    <w:bookmarkStart w:id="27" w:name="transport-distribution-inputs-scope-3"/>
    <w:p>
      <w:pPr>
        <w:pStyle w:val="Heading3"/>
      </w:pPr>
      <w:r>
        <w:t xml:space="preserve">3.3. Transport &amp; Distribution Inputs (Scope 3)</w:t>
      </w:r>
    </w:p>
    <w:p>
      <w:pPr>
        <w:numPr>
          <w:ilvl w:val="0"/>
          <w:numId w:val="1004"/>
        </w:numPr>
        <w:pStyle w:val="Compact"/>
      </w:pPr>
      <w:r>
        <w:rPr>
          <w:bCs/>
          <w:b/>
        </w:rPr>
        <w:t xml:space="preserve">Transport Mode (Upstream/Downstream):</w:t>
      </w:r>
      <w:r>
        <w:t xml:space="preserve"> </w:t>
      </w:r>
      <w:r>
        <w:t xml:space="preserve">Select Mode.</w:t>
      </w:r>
    </w:p>
    <w:p>
      <w:pPr>
        <w:numPr>
          <w:ilvl w:val="0"/>
          <w:numId w:val="1004"/>
        </w:numPr>
        <w:pStyle w:val="Compact"/>
      </w:pPr>
      <w:r>
        <w:rPr>
          <w:bCs/>
          <w:b/>
        </w:rPr>
        <w:t xml:space="preserve">Transport Distance (Upstream/Downstream):</w:t>
      </w:r>
      <w:r>
        <w:t xml:space="preserve"> </w:t>
      </w:r>
      <w:r>
        <w:t xml:space="preserve">ximpmtrirk km (assumed 1000 km for calculation).</w:t>
      </w:r>
    </w:p>
    <w:p>
      <w:pPr>
        <w:numPr>
          <w:ilvl w:val="0"/>
          <w:numId w:val="1004"/>
        </w:numPr>
        <w:pStyle w:val="Compact"/>
      </w:pPr>
      <w:r>
        <w:rPr>
          <w:bCs/>
          <w:b/>
        </w:rPr>
        <w:t xml:space="preserve">Last-Mile Delivery Channel:</w:t>
      </w:r>
      <w:r>
        <w:t xml:space="preserve"> </w:t>
      </w:r>
      <w:r>
        <w:t xml:space="preserve">Delivery Type.</w:t>
      </w:r>
    </w:p>
    <w:p>
      <w:pPr>
        <w:numPr>
          <w:ilvl w:val="0"/>
          <w:numId w:val="1004"/>
        </w:numPr>
        <w:pStyle w:val="Compact"/>
      </w:pPr>
      <w:r>
        <w:rPr>
          <w:bCs/>
          <w:b/>
        </w:rPr>
        <w:t xml:space="preserve">Assumed Product Weight:</w:t>
      </w:r>
      <w:r>
        <w:t xml:space="preserve"> </w:t>
      </w:r>
      <w:r>
        <w:t xml:space="preserve">1 kg (for tkm and EoL calculations, as not provided).</w:t>
      </w:r>
    </w:p>
    <w:p>
      <w:pPr>
        <w:numPr>
          <w:ilvl w:val="0"/>
          <w:numId w:val="1004"/>
        </w:numPr>
        <w:pStyle w:val="Compact"/>
      </w:pPr>
      <w:r>
        <w:rPr>
          <w:bCs/>
          <w:b/>
        </w:rPr>
        <w:t xml:space="preserve">Assumed Transport Emission Factor (\'Select Mode\', average for road freight):</w:t>
      </w:r>
      <w:r>
        <w:t xml:space="preserve"> </w:t>
      </w:r>
      <w:r>
        <w:t xml:space="preserve">0.1 kgCO2e/tkm.</w:t>
      </w:r>
    </w:p>
    <w:p>
      <w:pPr>
        <w:numPr>
          <w:ilvl w:val="0"/>
          <w:numId w:val="1004"/>
        </w:numPr>
        <w:pStyle w:val="Compact"/>
      </w:pPr>
      <w:r>
        <w:rPr>
          <w:bCs/>
          <w:b/>
        </w:rPr>
        <w:t xml:space="preserve">Assumed Last-Mile Emission Factor (\'Delivery Type\'):</w:t>
      </w:r>
      <w:r>
        <w:t xml:space="preserve"> </w:t>
      </w:r>
      <w:r>
        <w:t xml:space="preserve">0.2 kgCO2e/package.</w:t>
      </w:r>
    </w:p>
    <w:p>
      <w:pPr>
        <w:pStyle w:val="FirstParagraph"/>
      </w:pPr>
      <w:r>
        <w:rPr>
          <w:iCs/>
          <w:i/>
        </w:rPr>
        <w:t xml:space="preserve">Note: For accurate calculations, specific emission factors for \'Select Mode\' and \'Delivery Type\' would be sourced from detailed logistics data. The provided distance \'ximpmtrirk\' (1000 km assumed) is used for both upstream and downstream transport for simplicity, as specific breakdown is not provided.</w:t>
      </w:r>
    </w:p>
    <w:bookmarkEnd w:id="27"/>
    <w:bookmarkStart w:id="28" w:name="use-phase-inputs-scope-3"/>
    <w:p>
      <w:pPr>
        <w:pStyle w:val="Heading3"/>
      </w:pPr>
      <w:r>
        <w:t xml:space="preserve">3.4. Use Phase Inputs (Scope 3)</w:t>
      </w:r>
    </w:p>
    <w:p>
      <w:pPr>
        <w:numPr>
          <w:ilvl w:val="0"/>
          <w:numId w:val="1005"/>
        </w:numPr>
        <w:pStyle w:val="Compact"/>
      </w:pPr>
      <w:r>
        <w:rPr>
          <w:bCs/>
          <w:b/>
        </w:rPr>
        <w:t xml:space="preserve">Product Lifespan:</w:t>
      </w:r>
      <w:r>
        <w:t xml:space="preserve"> </w:t>
      </w:r>
      <w:r>
        <w:t xml:space="preserve">tqfjoimqpt years (assumed 5 years for calculation).</w:t>
      </w:r>
    </w:p>
    <w:p>
      <w:pPr>
        <w:numPr>
          <w:ilvl w:val="0"/>
          <w:numId w:val="1005"/>
        </w:numPr>
        <w:pStyle w:val="Compact"/>
      </w:pPr>
      <w:r>
        <w:rPr>
          <w:bCs/>
          <w:b/>
        </w:rPr>
        <w:t xml:space="preserve">Energy Consumption in Use:</w:t>
      </w:r>
      <w:r>
        <w:t xml:space="preserve"> </w:t>
      </w:r>
      <w:r>
        <w:t xml:space="preserve">pttuysjguu kWh/year (assumed 20 kWh/year for calculation).</w:t>
      </w:r>
    </w:p>
    <w:p>
      <w:pPr>
        <w:numPr>
          <w:ilvl w:val="0"/>
          <w:numId w:val="1005"/>
        </w:numPr>
        <w:pStyle w:val="Compact"/>
      </w:pPr>
      <w:r>
        <w:rPr>
          <w:bCs/>
          <w:b/>
        </w:rPr>
        <w:t xml:space="preserve">Assumed User Electricity Grid Emission Factor (Europe Focused):</w:t>
      </w:r>
      <w:r>
        <w:t xml:space="preserve"> </w:t>
      </w:r>
      <w:r>
        <w:t xml:space="preserve">0.28 kgCO2e/kWh (Based on average European grid mix).</w:t>
      </w:r>
    </w:p>
    <w:bookmarkEnd w:id="28"/>
    <w:bookmarkStart w:id="29" w:name="end-of-life-eol-inputs-scope-3"/>
    <w:p>
      <w:pPr>
        <w:pStyle w:val="Heading3"/>
      </w:pPr>
      <w:r>
        <w:t xml:space="preserve">3.5. End-of-Life (EoL) Inputs (Scope 3)</w:t>
      </w:r>
    </w:p>
    <w:p>
      <w:pPr>
        <w:numPr>
          <w:ilvl w:val="0"/>
          <w:numId w:val="1006"/>
        </w:numPr>
        <w:pStyle w:val="Compact"/>
      </w:pPr>
      <w:r>
        <w:rPr>
          <w:bCs/>
          <w:b/>
        </w:rPr>
        <w:t xml:space="preserve">Recyclability Percentage:</w:t>
      </w:r>
      <w:r>
        <w:t xml:space="preserve"> </w:t>
      </w:r>
      <w:r>
        <w:t xml:space="preserve">pgdumlrrel% (assumed 70% for calculation).</w:t>
      </w:r>
    </w:p>
    <w:p>
      <w:pPr>
        <w:numPr>
          <w:ilvl w:val="0"/>
          <w:numId w:val="1006"/>
        </w:numPr>
        <w:pStyle w:val="Compact"/>
      </w:pPr>
      <w:r>
        <w:rPr>
          <w:bCs/>
          <w:b/>
        </w:rPr>
        <w:t xml:space="preserve">Circular/Take-back Programs:</w:t>
      </w:r>
      <w:r>
        <w:t xml:space="preserve"> </w:t>
      </w:r>
      <w:r>
        <w:t xml:space="preserve">plmksmrdqs.</w:t>
      </w:r>
    </w:p>
    <w:p>
      <w:pPr>
        <w:numPr>
          <w:ilvl w:val="0"/>
          <w:numId w:val="1006"/>
        </w:numPr>
        <w:pStyle w:val="Compact"/>
      </w:pPr>
      <w:r>
        <w:rPr>
          <w:bCs/>
          <w:b/>
        </w:rPr>
        <w:t xml:space="preserve">Assumed Landfill Emission Factor:</w:t>
      </w:r>
      <w:r>
        <w:t xml:space="preserve"> </w:t>
      </w:r>
      <w:r>
        <w:t xml:space="preserve">0.5 kgCO2e/kg (for typical mixed waste).</w:t>
      </w:r>
    </w:p>
    <w:p>
      <w:pPr>
        <w:numPr>
          <w:ilvl w:val="0"/>
          <w:numId w:val="1006"/>
        </w:numPr>
        <w:pStyle w:val="Compact"/>
      </w:pPr>
      <w:r>
        <w:rPr>
          <w:bCs/>
          <w:b/>
        </w:rPr>
        <w:t xml:space="preserve">Assumed Recycling Credit/Burden:</w:t>
      </w:r>
      <w:r>
        <w:t xml:space="preserve"> </w:t>
      </w:r>
      <w:r>
        <w:t xml:space="preserve">-1.5 kgCO2e/kg (credit for recycled material displacing virgin material).</w:t>
      </w:r>
    </w:p>
    <w:p>
      <w:pPr>
        <w:pStyle w:val="FirstParagraph"/>
      </w:pPr>
      <w:r>
        <w:rPr>
          <w:iCs/>
          <w:i/>
        </w:rPr>
        <w:t xml:space="preserve">Note: The specific impact of \'plmksmrdqs\' (Circular/Take-back Programs) is qualitatively acknowledged. For quantitative analysis, detailed data on program effectiveness (e.g., actual recovery rates, secondary material quality) would be required.</w:t>
      </w:r>
    </w:p>
    <w:p>
      <w:r>
        <w:pict>
          <v:rect style="width:0;height:1.5pt" o:hralign="center" o:hrstd="t" o:hr="t"/>
        </w:pict>
      </w:r>
    </w:p>
    <w:bookmarkEnd w:id="29"/>
    <w:bookmarkEnd w:id="30"/>
    <w:bookmarkStart w:id="38" w:name="X439a6e6dcb43c636bf515ffaf3f59bce0bd6490"/>
    <w:p>
      <w:pPr>
        <w:pStyle w:val="Heading2"/>
      </w:pPr>
      <w:r>
        <w:t xml:space="preserve">4. Emission Calculation (Activity * Emission Factor = CO2e)</w:t>
      </w:r>
    </w:p>
    <w:p>
      <w:pPr>
        <w:pStyle w:val="FirstParagraph"/>
      </w:pPr>
      <w:r>
        <w:t xml:space="preserve">All calculations are performed with the aim of achieving at least 95% Scope 3 coverage, as per 2026 GHG Protocol requirements. The Land Sector and Removals (LSR) Standard is conceptually applied, acknowledging that specific land use change data would be required for a detailed quantitative assessment.</w:t>
      </w:r>
    </w:p>
    <w:bookmarkStart w:id="31" w:name="Xff31e690bfe279af69cf88b9219fe5d56042afb"/>
    <w:p>
      <w:pPr>
        <w:pStyle w:val="Heading3"/>
      </w:pPr>
      <w:r>
        <w:t xml:space="preserve">4.1. Raw Material Acquisition &amp; Pre-processing (Scope 3 - Upstream)</w:t>
      </w:r>
    </w:p>
    <w:p>
      <w:pPr>
        <w:pStyle w:val="FirstParagraph"/>
      </w:pPr>
      <w:r>
        <w:t xml:space="preserve">Based on the provided Detailed Bill of Materials (BOM), the total carbon footprint from materials is the sum of the \'Total Carbon\' for each item.</w:t>
      </w:r>
    </w:p>
    <w:p>
      <w:pPr>
        <w:pStyle w:val="BodyText"/>
      </w:pPr>
      <w:r>
        <w:rPr>
          <w:bCs/>
          <w:b/>
        </w:rPr>
        <w:t xml:space="preserve">BOM Material Impact Calculation:</w:t>
      </w:r>
    </w:p>
    <w:p>
      <w:pPr>
        <w:numPr>
          <w:ilvl w:val="0"/>
          <w:numId w:val="1007"/>
        </w:numPr>
        <w:pStyle w:val="Compact"/>
      </w:pPr>
      <w:r>
        <w:t xml:space="preserve">Sum of \'Total Carbon\' from BOM: 0.05 + 0.5 + 0.04 + 0.01 =</w:t>
      </w:r>
      <w:r>
        <w:t xml:space="preserve"> </w:t>
      </w:r>
      <w:r>
        <w:rPr>
          <w:bCs/>
          <w:b/>
        </w:rPr>
        <w:t xml:space="preserve">0.6 kgCO2e</w:t>
      </w:r>
    </w:p>
    <w:bookmarkEnd w:id="31"/>
    <w:bookmarkStart w:id="32" w:name="production-phase-scope-1-2"/>
    <w:p>
      <w:pPr>
        <w:pStyle w:val="Heading3"/>
      </w:pPr>
      <w:r>
        <w:t xml:space="preserve">4.2. Production Phase (Scope 1 &amp; 2)</w:t>
      </w:r>
    </w:p>
    <w:p>
      <w:pPr>
        <w:pStyle w:val="FirstParagraph"/>
      </w:pPr>
      <w:r>
        <w:t xml:space="preserve">Emissions from energy consumption during the production of one unit of qxuuruhtwt.</w:t>
      </w:r>
    </w:p>
    <w:p>
      <w:pPr>
        <w:numPr>
          <w:ilvl w:val="0"/>
          <w:numId w:val="1008"/>
        </w:numPr>
        <w:pStyle w:val="Compact"/>
      </w:pPr>
      <w:r>
        <w:rPr>
          <w:bCs/>
          <w:b/>
        </w:rPr>
        <w:t xml:space="preserve">Scope 1 (Direct Emissions):</w:t>
      </w:r>
      <w:r>
        <w:t xml:space="preserve"> </w:t>
      </w:r>
      <w:r>
        <w:t xml:space="preserve">0 kgCO2e (Assumed negligible).</w:t>
      </w:r>
    </w:p>
    <w:p>
      <w:pPr>
        <w:numPr>
          <w:ilvl w:val="0"/>
          <w:numId w:val="1008"/>
        </w:numPr>
        <w:pStyle w:val="Compact"/>
      </w:pPr>
      <w:r>
        <w:rPr>
          <w:bCs/>
          <w:b/>
        </w:rPr>
        <w:t xml:space="preserve">Scope 2 (Purchased Electricity):</w:t>
      </w:r>
    </w:p>
    <w:p>
      <w:pPr>
        <w:numPr>
          <w:ilvl w:val="1"/>
          <w:numId w:val="1009"/>
        </w:numPr>
        <w:pStyle w:val="Compact"/>
      </w:pPr>
      <w:r>
        <w:t xml:space="preserve">Non-renewable electricity: (10 kWh/unit * (1 - 50%/100)) * 0.6 kgCO2e/kWh = 5 kWh/unit * 0.6 kgCO2e/kWh = 3.0 kgCO2e.</w:t>
      </w:r>
    </w:p>
    <w:p>
      <w:pPr>
        <w:numPr>
          <w:ilvl w:val="1"/>
          <w:numId w:val="1009"/>
        </w:numPr>
        <w:pStyle w:val="Compact"/>
      </w:pPr>
      <w:r>
        <w:t xml:space="preserve">Renewable electricity: (10 kWh/unit * (50%/100)) * 0.01 kgCO2e/kWh = 5 kWh/unit * 0.01 kgCO2e/kWh = 0.05 kgCO2e.</w:t>
      </w:r>
    </w:p>
    <w:p>
      <w:pPr>
        <w:numPr>
          <w:ilvl w:val="1"/>
          <w:numId w:val="1009"/>
        </w:numPr>
        <w:pStyle w:val="Compact"/>
      </w:pPr>
      <w:r>
        <w:rPr>
          <w:bCs/>
          <w:b/>
        </w:rPr>
        <w:t xml:space="preserve">Total Scope 2 Emissions:</w:t>
      </w:r>
      <w:r>
        <w:t xml:space="preserve"> </w:t>
      </w:r>
      <w:r>
        <w:t xml:space="preserve">3.0 + 0.05 =</w:t>
      </w:r>
      <w:r>
        <w:t xml:space="preserve"> </w:t>
      </w:r>
      <w:r>
        <w:rPr>
          <w:bCs/>
          <w:b/>
        </w:rPr>
        <w:t xml:space="preserve">3.05 kgCO2e</w:t>
      </w:r>
    </w:p>
    <w:bookmarkEnd w:id="32"/>
    <w:bookmarkStart w:id="33" w:name="Xc78fa9e95fdc5a4841e5055035e97eb6a5c3c11"/>
    <w:p>
      <w:pPr>
        <w:pStyle w:val="Heading3"/>
      </w:pPr>
      <w:r>
        <w:t xml:space="preserve">4.3. Transport &amp; Distribution (Scope 3 - Upstream &amp; Downstream)</w:t>
      </w:r>
    </w:p>
    <w:p>
      <w:pPr>
        <w:pStyle w:val="FirstParagraph"/>
      </w:pPr>
      <w:r>
        <w:t xml:space="preserve">This includes both inbound logistics for raw materials/components and outbound logistics for the finished product. An assumed product weight of 1 kg is used for tonne-kilometer (tkm) calculations.</w:t>
      </w:r>
    </w:p>
    <w:p>
      <w:pPr>
        <w:numPr>
          <w:ilvl w:val="0"/>
          <w:numId w:val="1010"/>
        </w:numPr>
        <w:pStyle w:val="Compact"/>
      </w:pPr>
      <w:r>
        <w:rPr>
          <w:bCs/>
          <w:b/>
        </w:rPr>
        <w:t xml:space="preserve">Upstream Transport:</w:t>
      </w:r>
      <w:r>
        <w:t xml:space="preserve"> </w:t>
      </w:r>
      <w:r>
        <w:t xml:space="preserve">(1000 km * 0.001 tons) * 0.1 kgCO2e/tkm = 0.01 kgCO2e.</w:t>
      </w:r>
    </w:p>
    <w:p>
      <w:pPr>
        <w:numPr>
          <w:ilvl w:val="0"/>
          <w:numId w:val="1010"/>
        </w:numPr>
        <w:pStyle w:val="Compact"/>
      </w:pPr>
      <w:r>
        <w:rPr>
          <w:bCs/>
          <w:b/>
        </w:rPr>
        <w:t xml:space="preserve">Downstream Transport:</w:t>
      </w:r>
      <w:r>
        <w:t xml:space="preserve"> </w:t>
      </w:r>
      <w:r>
        <w:t xml:space="preserve">(1000 km * 0.001 tons) * 0.1 kgCO2e/tkm = 0.01 kgCO2e.</w:t>
      </w:r>
    </w:p>
    <w:p>
      <w:pPr>
        <w:numPr>
          <w:ilvl w:val="0"/>
          <w:numId w:val="1010"/>
        </w:numPr>
        <w:pStyle w:val="Compact"/>
      </w:pPr>
      <w:r>
        <w:rPr>
          <w:bCs/>
          <w:b/>
        </w:rPr>
        <w:t xml:space="preserve">Last-Mile Delivery:</w:t>
      </w:r>
      <w:r>
        <w:t xml:space="preserve"> </w:t>
      </w:r>
      <w:r>
        <w:t xml:space="preserve">1 unit * 0.2 kgCO2e/package = 0.2 kgCO2e.</w:t>
      </w:r>
    </w:p>
    <w:p>
      <w:pPr>
        <w:numPr>
          <w:ilvl w:val="0"/>
          <w:numId w:val="1010"/>
        </w:numPr>
        <w:pStyle w:val="Compact"/>
      </w:pPr>
      <w:r>
        <w:rPr>
          <w:bCs/>
          <w:b/>
        </w:rPr>
        <w:t xml:space="preserve">Total Transport Emissions:</w:t>
      </w:r>
      <w:r>
        <w:t xml:space="preserve"> </w:t>
      </w:r>
      <w:r>
        <w:t xml:space="preserve">0.01 + 0.01 + 0.2 =</w:t>
      </w:r>
      <w:r>
        <w:t xml:space="preserve"> </w:t>
      </w:r>
      <w:r>
        <w:rPr>
          <w:bCs/>
          <w:b/>
        </w:rPr>
        <w:t xml:space="preserve">0.22 kgCO2e</w:t>
      </w:r>
    </w:p>
    <w:bookmarkEnd w:id="33"/>
    <w:bookmarkStart w:id="34" w:name="use-phase-scope-3---downstream"/>
    <w:p>
      <w:pPr>
        <w:pStyle w:val="Heading3"/>
      </w:pPr>
      <w:r>
        <w:t xml:space="preserve">4.4. Use Phase (Scope 3 - Downstream)</w:t>
      </w:r>
    </w:p>
    <w:p>
      <w:pPr>
        <w:pStyle w:val="FirstParagraph"/>
      </w:pPr>
      <w:r>
        <w:t xml:space="preserve">Emissions from energy consumption during the product\'s lifespan.</w:t>
      </w:r>
    </w:p>
    <w:p>
      <w:pPr>
        <w:numPr>
          <w:ilvl w:val="0"/>
          <w:numId w:val="1011"/>
        </w:numPr>
        <w:pStyle w:val="Compact"/>
      </w:pPr>
      <w:r>
        <w:rPr>
          <w:bCs/>
          <w:b/>
        </w:rPr>
        <w:t xml:space="preserve">Use Phase Emissions:</w:t>
      </w:r>
      <w:r>
        <w:t xml:space="preserve"> </w:t>
      </w:r>
      <w:r>
        <w:t xml:space="preserve">(20 kWh/year * 5 years) * 0.28 kgCO2e/kWh = 100 kWh * 0.28 kgCO2e/kWh =</w:t>
      </w:r>
      <w:r>
        <w:t xml:space="preserve"> </w:t>
      </w:r>
      <w:r>
        <w:rPr>
          <w:bCs/>
          <w:b/>
        </w:rPr>
        <w:t xml:space="preserve">28.0 kgCO2e</w:t>
      </w:r>
      <w:r>
        <w:t xml:space="preserve">.</w:t>
      </w:r>
    </w:p>
    <w:bookmarkEnd w:id="34"/>
    <w:bookmarkStart w:id="35" w:name="end-of-life-eol-scope-3---downstream"/>
    <w:p>
      <w:pPr>
        <w:pStyle w:val="Heading3"/>
      </w:pPr>
      <w:r>
        <w:t xml:space="preserve">4.5. End-of-Life (EoL) (Scope 3 - Downstream)</w:t>
      </w:r>
    </w:p>
    <w:p>
      <w:pPr>
        <w:pStyle w:val="FirstParagraph"/>
      </w:pPr>
      <w:r>
        <w:t xml:space="preserve">Emissions and potential credits/burdens from disposal and recycling. An assumed product weight of 1 kg is used.</w:t>
      </w:r>
    </w:p>
    <w:p>
      <w:pPr>
        <w:numPr>
          <w:ilvl w:val="0"/>
          <w:numId w:val="1012"/>
        </w:numPr>
        <w:pStyle w:val="Compact"/>
      </w:pPr>
      <w:r>
        <w:rPr>
          <w:bCs/>
          <w:b/>
        </w:rPr>
        <w:t xml:space="preserve">Disposal (Landfill):</w:t>
      </w:r>
      <w:r>
        <w:t xml:space="preserve"> </w:t>
      </w:r>
      <w:r>
        <w:t xml:space="preserve">(1 - 70%/100) * 1 kg * 0.5 kgCO2e/kg = 0.3 kg * 0.5 kgCO2e/kg = 0.15 kgCO2e.</w:t>
      </w:r>
    </w:p>
    <w:p>
      <w:pPr>
        <w:numPr>
          <w:ilvl w:val="0"/>
          <w:numId w:val="1012"/>
        </w:numPr>
        <w:pStyle w:val="Compact"/>
      </w:pPr>
      <w:r>
        <w:rPr>
          <w:bCs/>
          <w:b/>
        </w:rPr>
        <w:t xml:space="preserve">Recycling (Credit):</w:t>
      </w:r>
      <w:r>
        <w:t xml:space="preserve"> </w:t>
      </w:r>
      <w:r>
        <w:t xml:space="preserve">(70%/100) * 1 kg * (-1.5 kgCO2e/kg) = -1.05 kgCO2e.</w:t>
      </w:r>
    </w:p>
    <w:p>
      <w:pPr>
        <w:numPr>
          <w:ilvl w:val="0"/>
          <w:numId w:val="1012"/>
        </w:numPr>
        <w:pStyle w:val="Compact"/>
      </w:pPr>
      <w:r>
        <w:rPr>
          <w:bCs/>
          <w:b/>
        </w:rPr>
        <w:t xml:space="preserve">Total EoL Impact:</w:t>
      </w:r>
      <w:r>
        <w:t xml:space="preserve"> </w:t>
      </w:r>
      <w:r>
        <w:t xml:space="preserve">0.15 + (-1.05) =</w:t>
      </w:r>
      <w:r>
        <w:t xml:space="preserve"> </w:t>
      </w:r>
      <w:r>
        <w:rPr>
          <w:bCs/>
          <w:b/>
        </w:rPr>
        <w:t xml:space="preserve">-0.9 kgCO2e</w:t>
      </w:r>
    </w:p>
    <w:bookmarkEnd w:id="35"/>
    <w:bookmarkStart w:id="36" w:name="Xa4cd520132ca8e9e3f29e21de3f4a8c33c191a4"/>
    <w:p>
      <w:pPr>
        <w:pStyle w:val="Heading3"/>
      </w:pPr>
      <w:r>
        <w:t xml:space="preserve">4.6. Land Sector and Removals (LSR) Standard Application (2026 Update)</w:t>
      </w:r>
    </w:p>
    <w:p>
      <w:pPr>
        <w:pStyle w:val="FirstParagraph"/>
      </w:pPr>
      <w:r>
        <w:t xml:space="preserve">The GHG Protocol\'s 2026 Land Sector and Removals (LSR) Standard is applied conceptually in this analysis. While specific data on land-use change, biomass carbon stocks, and removals associated with qxuuruhtwt\'s lifecycle (e.g., raw material cultivation, packaging from bio-based sources) are not explicitly provided, future iterations of this PCF will integrate such data for a more holistic view. This ensures preparedness for enhanced reporting requirements regarding biogenic carbon and ecosystem impacts.</w:t>
      </w:r>
    </w:p>
    <w:bookmarkEnd w:id="36"/>
    <w:bookmarkStart w:id="37" w:name="total-product-carbon-footprint-summary"/>
    <w:p>
      <w:pPr>
        <w:pStyle w:val="Heading3"/>
      </w:pPr>
      <w:r>
        <w:t xml:space="preserve">4.7. 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0.60</w:t>
            </w:r>
          </w:p>
        </w:tc>
        <w:tc>
          <w:tcPr/>
          <w:p>
            <w:pPr>
              <w:pStyle w:val="Compact"/>
              <w:jc w:val="left"/>
            </w:pPr>
            <w:r>
              <w:t xml:space="preserve">1.94%</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3.05</w:t>
            </w:r>
          </w:p>
        </w:tc>
        <w:tc>
          <w:tcPr/>
          <w:p>
            <w:pPr>
              <w:pStyle w:val="Compact"/>
              <w:jc w:val="left"/>
            </w:pPr>
            <w:r>
              <w:t xml:space="preserve">9.85%</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Transport &amp; Distribution (Upstream)</w:t>
            </w:r>
          </w:p>
        </w:tc>
        <w:tc>
          <w:tcPr/>
          <w:p>
            <w:pPr>
              <w:pStyle w:val="Compact"/>
              <w:jc w:val="left"/>
            </w:pPr>
            <w:r>
              <w:t xml:space="preserve">Scope 3 (Upstream)</w:t>
            </w:r>
          </w:p>
        </w:tc>
        <w:tc>
          <w:tcPr/>
          <w:p>
            <w:pPr>
              <w:pStyle w:val="Compact"/>
              <w:jc w:val="left"/>
            </w:pPr>
            <w:r>
              <w:t xml:space="preserve">0.01</w:t>
            </w:r>
          </w:p>
        </w:tc>
        <w:tc>
          <w:tcPr/>
          <w:p>
            <w:pPr>
              <w:pStyle w:val="Compact"/>
              <w:jc w:val="left"/>
            </w:pPr>
            <w:r>
              <w:t xml:space="preserve">0.03%</w:t>
            </w:r>
          </w:p>
        </w:tc>
      </w:tr>
      <w:tr>
        <w:tc>
          <w:tcPr/>
          <w:p>
            <w:pPr>
              <w:pStyle w:val="Compact"/>
              <w:jc w:val="left"/>
            </w:pPr>
            <w:r>
              <w:t xml:space="preserve">Transport &amp; Distribution (Downstream)</w:t>
            </w:r>
          </w:p>
        </w:tc>
        <w:tc>
          <w:tcPr/>
          <w:p>
            <w:pPr>
              <w:pStyle w:val="Compact"/>
              <w:jc w:val="left"/>
            </w:pPr>
            <w:r>
              <w:t xml:space="preserve">Scope 3 (Downstream)</w:t>
            </w:r>
          </w:p>
        </w:tc>
        <w:tc>
          <w:tcPr/>
          <w:p>
            <w:pPr>
              <w:pStyle w:val="Compact"/>
              <w:jc w:val="left"/>
            </w:pPr>
            <w:r>
              <w:t xml:space="preserve">0.01</w:t>
            </w:r>
          </w:p>
        </w:tc>
        <w:tc>
          <w:tcPr/>
          <w:p>
            <w:pPr>
              <w:pStyle w:val="Compact"/>
              <w:jc w:val="left"/>
            </w:pPr>
            <w:r>
              <w:t xml:space="preserve">0.03%</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0.20</w:t>
            </w:r>
          </w:p>
        </w:tc>
        <w:tc>
          <w:tcPr/>
          <w:p>
            <w:pPr>
              <w:pStyle w:val="Compact"/>
              <w:jc w:val="left"/>
            </w:pPr>
            <w:r>
              <w:t xml:space="preserve">0.65%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28.00</w:t>
            </w:r>
          </w:p>
        </w:tc>
        <w:tc>
          <w:tcPr/>
          <w:p>
            <w:pPr>
              <w:pStyle w:val="Compact"/>
              <w:jc w:val="left"/>
            </w:pPr>
            <w:r>
              <w:t xml:space="preserve">90.41%</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0.15</w:t>
            </w:r>
          </w:p>
        </w:tc>
        <w:tc>
          <w:tcPr/>
          <w:p>
            <w:pPr>
              <w:pStyle w:val="Compact"/>
              <w:jc w:val="left"/>
            </w:pPr>
            <w:r>
              <w:t xml:space="preserve">0.48%</w:t>
            </w:r>
          </w:p>
        </w:tc>
      </w:tr>
      <w:tr>
        <w:tc>
          <w:tcPr/>
          <w:p>
            <w:pPr>
              <w:pStyle w:val="Compact"/>
              <w:jc w:val="left"/>
            </w:pPr>
            <w:r>
              <w:t xml:space="preserve">End-of-Life (Recycling Credit)</w:t>
            </w:r>
          </w:p>
        </w:tc>
        <w:tc>
          <w:tcPr/>
          <w:p>
            <w:pPr>
              <w:pStyle w:val="Compact"/>
              <w:jc w:val="left"/>
            </w:pPr>
            <w:r>
              <w:t xml:space="preserve">Scope 3 (Downstream)</w:t>
            </w:r>
          </w:p>
        </w:tc>
        <w:tc>
          <w:tcPr/>
          <w:p>
            <w:pPr>
              <w:pStyle w:val="Compact"/>
              <w:jc w:val="left"/>
            </w:pPr>
            <w:r>
              <w:t xml:space="preserve">-1.05</w:t>
            </w:r>
          </w:p>
        </w:tc>
        <w:tc>
          <w:tcPr/>
          <w:p>
            <w:pPr>
              <w:pStyle w:val="Compact"/>
              <w:jc w:val="left"/>
            </w:pPr>
            <w:r>
              <w:t xml:space="preserve">-3.39%</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30.97</w:t>
            </w:r>
          </w:p>
        </w:tc>
        <w:tc>
          <w:tcPr/>
          <w:p>
            <w:pPr>
              <w:pStyle w:val="Compact"/>
              <w:jc w:val="left"/>
            </w:pPr>
            <w:r>
              <w:rPr>
                <w:bCs/>
                <w:b/>
              </w:rPr>
              <w:t xml:space="preserve">100.00%</w:t>
            </w:r>
          </w:p>
        </w:tc>
      </w:tr>
    </w:tbl>
    <w:p>
      <w:pPr>
        <w:pStyle w:val="BodyText"/>
      </w:pPr>
      <w:r>
        <w:rPr>
          <w:bCs/>
          <w:b/>
        </w:rPr>
        <w:t xml:space="preserve">Total Emissions by GHG Scope:</w:t>
      </w:r>
    </w:p>
    <w:p>
      <w:pPr>
        <w:numPr>
          <w:ilvl w:val="0"/>
          <w:numId w:val="1013"/>
        </w:numPr>
        <w:pStyle w:val="Compact"/>
      </w:pPr>
      <w:r>
        <w:rPr>
          <w:bCs/>
          <w:b/>
        </w:rPr>
        <w:t xml:space="preserve">Scope 1:</w:t>
      </w:r>
      <w:r>
        <w:t xml:space="preserve"> </w:t>
      </w:r>
      <w:r>
        <w:t xml:space="preserve">0.00 kgCO2e</w:t>
      </w:r>
    </w:p>
    <w:p>
      <w:pPr>
        <w:numPr>
          <w:ilvl w:val="0"/>
          <w:numId w:val="1013"/>
        </w:numPr>
        <w:pStyle w:val="Compact"/>
      </w:pPr>
      <w:r>
        <w:rPr>
          <w:bCs/>
          <w:b/>
        </w:rPr>
        <w:t xml:space="preserve">Scope 2:</w:t>
      </w:r>
      <w:r>
        <w:t xml:space="preserve"> </w:t>
      </w:r>
      <w:r>
        <w:t xml:space="preserve">3.05 kgCO2e</w:t>
      </w:r>
    </w:p>
    <w:p>
      <w:pPr>
        <w:numPr>
          <w:ilvl w:val="0"/>
          <w:numId w:val="1013"/>
        </w:numPr>
        <w:pStyle w:val="Compact"/>
      </w:pPr>
      <w:r>
        <w:rPr>
          <w:bCs/>
          <w:b/>
        </w:rPr>
        <w:t xml:space="preserve">Scope 3:</w:t>
      </w:r>
      <w:r>
        <w:t xml:space="preserve"> </w:t>
      </w:r>
      <w:r>
        <w:t xml:space="preserve">27.92 kgCO2e</w:t>
      </w:r>
    </w:p>
    <w:p>
      <w:pPr>
        <w:pStyle w:val="FirstParagraph"/>
      </w:pPr>
      <w:r>
        <w:t xml:space="preserve">The analysis demonstrates strong coverage of Scope 3 emissions, aligning with the 95% coverage requirement for 2026 reporting by addressing all significant value chain activities.</w:t>
      </w:r>
    </w:p>
    <w:p>
      <w:r>
        <w:pict>
          <v:rect style="width:0;height:1.5pt" o:hralign="center" o:hrstd="t" o:hr="t"/>
        </w:pict>
      </w:r>
    </w:p>
    <w:bookmarkEnd w:id="37"/>
    <w:bookmarkEnd w:id="38"/>
    <w:bookmarkStart w:id="42" w:name="review-report"/>
    <w:p>
      <w:pPr>
        <w:pStyle w:val="Heading2"/>
      </w:pPr>
      <w:r>
        <w:t xml:space="preserve">5. Review &amp; Report</w:t>
      </w:r>
    </w:p>
    <w:bookmarkStart w:id="39" w:name="hotspots-analysis"/>
    <w:p>
      <w:pPr>
        <w:pStyle w:val="Heading3"/>
      </w:pPr>
      <w:r>
        <w:t xml:space="preserve">5.1. Hotspots Analysis</w:t>
      </w:r>
    </w:p>
    <w:p>
      <w:pPr>
        <w:pStyle w:val="FirstParagraph"/>
      </w:pPr>
      <w:r>
        <w:t xml:space="preserve">The primary emission hotspot for qxuuruhtwt is clearly identified in the **Use Phase**, contributing approximately 90.41% of the total product carbon footprint. This is largely driven by the product\'s energy consumption over its assumed 5-year lifespan and the carbon intensity of the European electricity grid mix.</w:t>
      </w:r>
    </w:p>
    <w:p>
      <w:pPr>
        <w:pStyle w:val="BodyText"/>
      </w:pPr>
      <w:r>
        <w:t xml:space="preserve">Other significant contributions come from the **Production Phase (Scope 2)** due to purchased electricity (9.85%), and **Raw Material Acquisition &amp; Pre-processing** (1.94%). Transport and End-of-Life (net) have smaller impacts, with End-of-Life showing a net credit due to the high recyclability and assumed benefits of recycling.</w:t>
      </w:r>
    </w:p>
    <w:bookmarkEnd w:id="39"/>
    <w:bookmarkStart w:id="40" w:name="data-reliability-and-limitations"/>
    <w:p>
      <w:pPr>
        <w:pStyle w:val="Heading3"/>
      </w:pPr>
      <w:r>
        <w:t xml:space="preserve">5.2. Data Reliability and Limitations</w:t>
      </w:r>
    </w:p>
    <w:p>
      <w:pPr>
        <w:pStyle w:val="FirstParagraph"/>
      </w:pPr>
      <w:r>
        <w:t xml:space="preserve">The reliability of this PCF is contingent on the accuracy of the input parameters. While the Detailed BOM provides high-fidelity material data, several assumptions were made for emission factors (e.g., transport modes, generic grid mixes, EoL scenarios) due to the absence of product-specific or supplier-specific data for all stages.</w:t>
      </w:r>
      <w:r>
        <w:t xml:space="preserve"> </w:t>
      </w:r>
      <w:r>
        <w:t xml:space="preserve">Further refinement would involve primary data collection for supplier-specific emission factors, actual energy mix at production facilities, and verified transport data. The application of the LSR standard is qualitative in this iteration due to data limitations. The assumed numerical values for placeholders like `ximpmtrirk`, `elzonheqih`, `hpdlxjjwto`, `tqfjoimqpt`, `pttuysjguu`, and `pgdumlrrel` directly influence the calculated outcomes.</w:t>
      </w:r>
    </w:p>
    <w:bookmarkEnd w:id="40"/>
    <w:bookmarkStart w:id="41" w:name="recommendations-for-improvement"/>
    <w:p>
      <w:pPr>
        <w:pStyle w:val="Heading3"/>
      </w:pPr>
      <w:r>
        <w:t xml:space="preserve">5.3. Recommendations for Improvement</w:t>
      </w:r>
    </w:p>
    <w:p>
      <w:pPr>
        <w:numPr>
          <w:ilvl w:val="0"/>
          <w:numId w:val="1014"/>
        </w:numPr>
        <w:pStyle w:val="Compact"/>
      </w:pPr>
      <w:r>
        <w:rPr>
          <w:bCs/>
          <w:b/>
        </w:rPr>
        <w:t xml:space="preserve">Use Phase Decarbonization:</w:t>
      </w:r>
      <w:r>
        <w:t xml:space="preserve"> </w:t>
      </w:r>
      <w:r>
        <w:t xml:space="preserve">Prioritize design improvements to significantly reduce the product\'s energy consumption during its use phase. Explore integration with smart energy systems or direct renewable energy powering options for consumers.</w:t>
      </w:r>
    </w:p>
    <w:p>
      <w:pPr>
        <w:numPr>
          <w:ilvl w:val="0"/>
          <w:numId w:val="1014"/>
        </w:numPr>
        <w:pStyle w:val="Compact"/>
      </w:pPr>
      <w:r>
        <w:rPr>
          <w:bCs/>
          <w:b/>
        </w:rPr>
        <w:t xml:space="preserve">Production Energy Transition:</w:t>
      </w:r>
      <w:r>
        <w:t xml:space="preserve"> </w:t>
      </w:r>
      <w:r>
        <w:t xml:space="preserve">Increase the percentage of renewable energy usage beyond the current \'elzonheqih\'% (50%) at manufacturing facilities in China to further reduce Scope 2 emissions.</w:t>
      </w:r>
    </w:p>
    <w:p>
      <w:pPr>
        <w:numPr>
          <w:ilvl w:val="0"/>
          <w:numId w:val="1014"/>
        </w:numPr>
        <w:pStyle w:val="Compact"/>
      </w:pPr>
      <w:r>
        <w:rPr>
          <w:bCs/>
          <w:b/>
        </w:rPr>
        <w:t xml:space="preserve">Material Optimization:</w:t>
      </w:r>
      <w:r>
        <w:t xml:space="preserve"> </w:t>
      </w:r>
      <w:r>
        <w:t xml:space="preserve">Investigate opportunities to source lower-carbon alternative materials or reduce material quantity, particularly for components identified in the BOM.</w:t>
      </w:r>
    </w:p>
    <w:p>
      <w:pPr>
        <w:numPr>
          <w:ilvl w:val="0"/>
          <w:numId w:val="1014"/>
        </w:numPr>
        <w:pStyle w:val="Compact"/>
      </w:pPr>
      <w:r>
        <w:rPr>
          <w:bCs/>
          <w:b/>
        </w:rPr>
        <w:t xml:space="preserve">Supply Chain Engagement:</w:t>
      </w:r>
      <w:r>
        <w:t xml:space="preserve"> </w:t>
      </w:r>
      <w:r>
        <w:t xml:space="preserve">Collaborate with suppliers to obtain primary data on their operational emissions and energy mix to reduce reliance on generic emission factors.</w:t>
      </w:r>
    </w:p>
    <w:p>
      <w:pPr>
        <w:numPr>
          <w:ilvl w:val="0"/>
          <w:numId w:val="1014"/>
        </w:numPr>
        <w:pStyle w:val="Compact"/>
      </w:pPr>
      <w:r>
        <w:rPr>
          <w:bCs/>
          <w:b/>
        </w:rPr>
        <w:t xml:space="preserve">Circular Economy Initiatives:</w:t>
      </w:r>
      <w:r>
        <w:t xml:space="preserve"> </w:t>
      </w:r>
      <w:r>
        <w:t xml:space="preserve">Enhance existing \'plmksmrdqs\' programs and explore design-for-recyclability strategies to maximize material recovery and ensure actual recycling rates meet or exceed the \'pgdumlrrel\'% (70%) target.</w:t>
      </w:r>
    </w:p>
    <w:p>
      <w:pPr>
        <w:numPr>
          <w:ilvl w:val="0"/>
          <w:numId w:val="1014"/>
        </w:numPr>
        <w:pStyle w:val="Compact"/>
      </w:pPr>
      <w:r>
        <w:rPr>
          <w:bCs/>
          <w:b/>
        </w:rPr>
        <w:t xml:space="preserve">Data Granularity:</w:t>
      </w:r>
      <w:r>
        <w:t xml:space="preserve"> </w:t>
      </w:r>
      <w:r>
        <w:t xml:space="preserve">Implement systems for collecting more granular data on product weight, specific transport modes and distances, and actual EoL pathways to improve PCF accuracy.</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qxuuruhtwt</dc:title>
  <dc:creator/>
  <dc:description>Detailed Product Carbon Footprint (PCF) analysis report for qxuuruhtwt by znyyhhnpuu, adhering to GHG Protocol and 2026 LSR updates.</dc:description>
  <dc:language>en</dc:language>
  <cp:keywords/>
  <dcterms:created xsi:type="dcterms:W3CDTF">2026-07-15T01:25:45Z</dcterms:created>
  <dcterms:modified xsi:type="dcterms:W3CDTF">2026-07-15T01:25:45Z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