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qxjjmtkfsl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qxjjmtkfsl</w:t>
      </w:r>
    </w:p>
    <w:p>
      <w:pPr>
        <w:pStyle w:val="BodyText"/>
      </w:pPr>
      <w:r>
        <w:t xml:space="preserve">Company Name:</w:t>
      </w:r>
      <w:r>
        <w:t xml:space="preserve"> </w:t>
      </w:r>
      <w:r>
        <w:rPr>
          <w:bCs/>
          <w:b/>
        </w:rPr>
        <w:t xml:space="preserve">ntjfuprgqg</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fovitnndlj</w:t>
      </w:r>
    </w:p>
    <w:p>
      <w:pPr>
        <w:pStyle w:val="BodyText"/>
      </w:pPr>
      <w:r>
        <w:t xml:space="preserve">This report is generated based on available data and industry standards, providing an estimate of the product\'s carbon footprint. Actual emissions may vary.</w:t>
      </w:r>
    </w:p>
    <w:bookmarkEnd w:id="20"/>
    <w:bookmarkStart w:id="21" w:name="Xf9db3b1f9ba9247d1258157e43e973c9312bd2d"/>
    <w:p>
      <w:pPr>
        <w:pStyle w:val="Heading1"/>
      </w:pPr>
      <w:r>
        <w:t xml:space="preserve">Product Carbon Footprint Analysis Report: qxjjmtkfsl</w:t>
      </w:r>
    </w:p>
    <w:p>
      <w:pPr>
        <w:pStyle w:val="FirstParagraph"/>
      </w:pPr>
      <w:r>
        <w:rPr>
          <w:bCs/>
          <w:b/>
        </w:rPr>
        <w:t xml:space="preserve">Generated Date:</w:t>
      </w:r>
      <w:r>
        <w:t xml:space="preserve"> </w:t>
      </w:r>
      <w:r>
        <w:t xml:space="preserve">May 26, 2026</w:t>
      </w:r>
    </w:p>
    <w:p>
      <w:pPr>
        <w:pStyle w:val="BodyText"/>
      </w:pPr>
      <w:r>
        <w:rPr>
          <w:bCs/>
          <w:b/>
        </w:rPr>
        <w:t xml:space="preserve">Prepared by:</w:t>
      </w:r>
      <w:r>
        <w:t xml:space="preserve"> </w:t>
      </w:r>
      <w:r>
        <w:t xml:space="preserve">fovitnndlj, Senior Sustainability Consultant</w:t>
      </w:r>
    </w:p>
    <w:p>
      <w:pPr>
        <w:pStyle w:val="BodyText"/>
      </w:pPr>
      <w:r>
        <w:rPr>
          <w:bCs/>
          <w:b/>
        </w:rPr>
        <w:t xml:space="preserve">For:</w:t>
      </w:r>
      <w:r>
        <w:t xml:space="preserve"> </w:t>
      </w:r>
      <w:r>
        <w:t xml:space="preserve">ntjfuprgqg</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qxjjmtkfsl</w:t>
      </w:r>
      <w:r>
        <w:t xml:space="preserve"> </w:t>
      </w:r>
      <w:r>
        <w:t xml:space="preserve">manufactured by</w:t>
      </w:r>
      <w:r>
        <w:t xml:space="preserve"> </w:t>
      </w:r>
      <w:r>
        <w:rPr>
          <w:bCs/>
          <w:b/>
        </w:rPr>
        <w:t xml:space="preserve">ntjfuprgqg</w:t>
      </w:r>
      <w:r>
        <w:t xml:space="preserve">. The analysis follows the Greenhouse Gas (GHG) Protocol standards, including recent 2026 updates for Land Sector and Removals (LSR) and Scope 3 compliance. The objective is to quantify the total greenhouse gas emissions associated with the product across its lifecycle, from raw material acquisition through manufacturing, distribution, use, and end-of-life (cradle-to-grave, with a factory-gate boundary for core production), identifying emission hotspots and providing insights for sustainability improvements.</w:t>
      </w:r>
    </w:p>
    <w:p>
      <w:r>
        <w:pict>
          <v:rect style="width:0;height:1.5pt" o:hralign="center" o:hrstd="t" o:hr="t"/>
        </w:pict>
      </w:r>
    </w:p>
    <w:bookmarkEnd w:id="22"/>
    <w:bookmarkStart w:id="27" w:name="defining-the-scope"/>
    <w:p>
      <w:pPr>
        <w:pStyle w:val="Heading2"/>
      </w:pPr>
      <w:r>
        <w:t xml:space="preserve">1. Defining the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qxjjmtkfsl</w:t>
      </w:r>
      <w:r>
        <w:t xml:space="preserve">. All emissions are normalized to this unit.</w:t>
      </w:r>
    </w:p>
    <w:bookmarkEnd w:id="23"/>
    <w:bookmarkStart w:id="24" w:name="system-boundary"/>
    <w:p>
      <w:pPr>
        <w:pStyle w:val="Heading3"/>
      </w:pPr>
      <w:r>
        <w:t xml:space="preserve">1.2 System Boundary</w:t>
      </w:r>
    </w:p>
    <w:p>
      <w:pPr>
        <w:pStyle w:val="FirstParagraph"/>
      </w:pPr>
      <w:r>
        <w:t xml:space="preserve">The system boundary for the primary production phase is set as</w:t>
      </w:r>
      <w:r>
        <w:t xml:space="preserve"> </w:t>
      </w:r>
      <w:r>
        <w:rPr>
          <w:bCs/>
          <w:b/>
        </w:rPr>
        <w:t xml:space="preserve">factory_gate</w:t>
      </w:r>
      <w:r>
        <w:t xml:space="preserve">. However, to provide a comprehensive "cradle-to-grave" analysis as required for a full PCF, the scope extends beyond the factory gate to include upstream (raw materials, transport to factory) and downstream (distribution, use phase, end-of-life) impacts. Emissions are categorized according to the GHG Protocol as Scope 1 (direct emissions from owned or controlled sources), Scope 2 (indirect emissions from purchased energy), and Scope 3 (all other indirect emissions that occur in the value chain).</w:t>
      </w:r>
    </w:p>
    <w:bookmarkEnd w:id="24"/>
    <w:bookmarkStart w:id="25" w:name="geographic-scope"/>
    <w:p>
      <w:pPr>
        <w:pStyle w:val="Heading3"/>
      </w:pPr>
      <w:r>
        <w:t xml:space="preserve">1.3 Geographic Scope</w:t>
      </w:r>
    </w:p>
    <w:p>
      <w:pPr>
        <w:pStyle w:val="FirstParagraph"/>
      </w:pPr>
      <w:r>
        <w:t xml:space="preserve">The final production country for</w:t>
      </w:r>
      <w:r>
        <w:t xml:space="preserve"> </w:t>
      </w:r>
      <w:r>
        <w:rPr>
          <w:bCs/>
          <w:b/>
        </w:rPr>
        <w:t xml:space="preserve">qxjjmtkfsl</w:t>
      </w:r>
      <w:r>
        <w:t xml:space="preserve"> </w:t>
      </w:r>
      <w:r>
        <w:t xml:space="preserve">is</w:t>
      </w:r>
      <w:r>
        <w:t xml:space="preserve"> </w:t>
      </w:r>
      <w:r>
        <w:rPr>
          <w:bCs/>
          <w:b/>
        </w:rPr>
        <w:t xml:space="preserve">China</w:t>
      </w:r>
      <w:r>
        <w:t xml:space="preserve">. The supply chain focus is primarily</w:t>
      </w:r>
      <w:r>
        <w:t xml:space="preserve"> </w:t>
      </w:r>
      <w:r>
        <w:rPr>
          <w:bCs/>
          <w:b/>
        </w:rPr>
        <w:t xml:space="preserve">Europe Focused</w:t>
      </w:r>
      <w:r>
        <w:t xml:space="preserve">, implying significant material and component sourcing from or through Europe, leading to international transport considerations.</w:t>
      </w:r>
    </w:p>
    <w:bookmarkEnd w:id="25"/>
    <w:bookmarkStart w:id="26"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w:t>
      </w:r>
      <w:r>
        <w:t xml:space="preserve"> </w:t>
      </w:r>
      <w:r>
        <w:t xml:space="preserve">Corporate Accounting and Reporting Standard and the Corporate Value Chain (Scope 3) Accounting and Reporting Standard. This includes incorporating the latest developments:</w:t>
      </w:r>
    </w:p>
    <w:p>
      <w:pPr>
        <w:numPr>
          <w:ilvl w:val="0"/>
          <w:numId w:val="1001"/>
        </w:numPr>
        <w:pStyle w:val="Compact"/>
      </w:pPr>
      <w:r>
        <w:rPr>
          <w:bCs/>
          <w:b/>
        </w:rPr>
        <w:t xml:space="preserve">2026 Land Sector and Removals (LSR) Standard Update:</w:t>
      </w:r>
      <w:r>
        <w:t xml:space="preserve"> </w:t>
      </w:r>
      <w:r>
        <w:t xml:space="preserve">While the primary production of qxjjmtkfsl may not directly involve significant land-use change, the LSR Standard, effective January 1, 2027, provides guidelines for quantifying land emissions and CO₂ removals. Its application is noted to ensure comprehensive future reporting, particularly for any bio-based materials or land-intensive processes in the value chain. The LSR Standard does not cover the forestry sector in its current version.</w:t>
      </w:r>
    </w:p>
    <w:p>
      <w:pPr>
        <w:numPr>
          <w:ilvl w:val="0"/>
          <w:numId w:val="1001"/>
        </w:numPr>
        <w:pStyle w:val="Compact"/>
      </w:pPr>
      <w:r>
        <w:rPr>
          <w:bCs/>
          <w:b/>
        </w:rPr>
        <w:t xml:space="preserve">2026 Scope 3 Compliance Requirements:</w:t>
      </w:r>
      <w:r>
        <w:t xml:space="preserve"> </w:t>
      </w:r>
      <w:r>
        <w:t xml:space="preserve">The analysis ensures at least 95% coverage for Scope 3 reporting, a critical update for 2026, aiming to eliminate selective disclosure and promote comprehensive value chain transparency. Data disaggregation by source type (primary vs. secondary) is also a key requirement.</w:t>
      </w:r>
    </w:p>
    <w:p>
      <w:r>
        <w:pict>
          <v:rect style="width:0;height:1.5pt" o:hralign="center" o:hrstd="t" o:hr="t"/>
        </w:pict>
      </w:r>
    </w:p>
    <w:bookmarkEnd w:id="26"/>
    <w:bookmarkEnd w:id="27"/>
    <w:bookmarkStart w:id="33" w:name="lifecycle-mapping-and-data-collection"/>
    <w:p>
      <w:pPr>
        <w:pStyle w:val="Heading2"/>
      </w:pPr>
      <w:r>
        <w:t xml:space="preserve">2. Lifecycle Mapping and Data Collection</w:t>
      </w:r>
    </w:p>
    <w:p>
      <w:pPr>
        <w:pStyle w:val="FirstParagraph"/>
      </w:pPr>
      <w:r>
        <w:t xml:space="preserve">The lifecycle of</w:t>
      </w:r>
      <w:r>
        <w:t xml:space="preserve"> </w:t>
      </w:r>
      <w:r>
        <w:rPr>
          <w:bCs/>
          <w:b/>
        </w:rPr>
        <w:t xml:space="preserve">qxjjmtkfsl</w:t>
      </w:r>
      <w:r>
        <w:t xml:space="preserve"> </w:t>
      </w:r>
      <w:r>
        <w:t xml:space="preserve">is mapped through several stages, from raw material acquisition to end-of-life, to systematically collect data and calculate emissions. Data collection relies on primary data where available (e.g., specific BOM, energy usage) and secondary, industry-average data from recognized databases like Ecoinvent and DEFRA for emission factors.</w:t>
      </w:r>
    </w:p>
    <w:bookmarkStart w:id="28" w:name="X34f1e69318f74941c0070ed6e296ec06693648e"/>
    <w:p>
      <w:pPr>
        <w:pStyle w:val="Heading3"/>
      </w:pPr>
      <w:r>
        <w:t xml:space="preserve">2.1 Detailed Bill of Materials (BOM) - Upstream Materials (Scope 3, Category 1)</w:t>
      </w:r>
    </w:p>
    <w:p>
      <w:pPr>
        <w:pStyle w:val="FirstParagraph"/>
      </w:pPr>
      <w:r>
        <w:t xml:space="preserve">The provided Detailed Bill of Materials (BOM) for</w:t>
      </w:r>
      <w:r>
        <w:t xml:space="preserve"> </w:t>
      </w:r>
      <w:r>
        <w:rPr>
          <w:bCs/>
          <w:b/>
        </w:rPr>
        <w:t xml:space="preserve">hudfwlnd</w:t>
      </w:r>
      <w:r>
        <w:t xml:space="preserve"> </w:t>
      </w:r>
      <w:r>
        <w:t xml:space="preserve">(representing product qxjjmtkfsl) is used for high-accuracy material impact calculation. The "Total Carbon" values from the BOM are directly incorporated into the emissions calculation. These values represent the cradle-to-gate emissions associated with the production of each material component.</w:t>
      </w:r>
    </w:p>
    <w:p>
      <w:pPr>
        <w:pStyle w:val="BodyText"/>
      </w:pPr>
      <w:r>
        <w:t xml:space="preserve">The total mass of the product\'s components, derived from the BOM, is 2.1 kg (sum of Qty column for components: 0.5 + 0.3 + 1.0 + 0.2 + 0.1).</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gridSpan w:val="7"/>
          </w:tcPr>
          <w:p>
            <w:pPr>
              <w:pStyle w:val="Compact"/>
              <w:jc w:val="right"/>
            </w:pPr>
            <w:r>
              <w:t xml:space="preserve">Total Material Carbon Footprint (kgCO2e):</w:t>
            </w:r>
          </w:p>
        </w:tc>
        <w:tc>
          <w:tcPr/>
          <w:p>
            <w:pPr>
              <w:pStyle w:val="Compact"/>
              <w:jc w:val="left"/>
            </w:pPr>
            <w:r>
              <w:t xml:space="preserve">13.05</w:t>
            </w:r>
          </w:p>
        </w:tc>
      </w:tr>
    </w:tbl>
    <w:p>
      <w:pPr>
        <w:pStyle w:val="BodyText"/>
      </w:pPr>
      <w:r>
        <w:rPr>
          <w:iCs/>
          <w:i/>
        </w:rPr>
        <w:t xml:space="preserve">Note: The "Emission Factor" and "Total Carbon" values for each BOM item are provided directly as part of the `hudfwlnd` data format, representing their cradle-to-gate impact. Representative industry emission factors are used for illustration. For instance, primary aluminum production can be highly carbon-intensive, especially in regions relying on coal. Plastic injection molding has significant energy and raw material impacts. PCB manufacturing also contributes substantial emissions. Lithium-ion battery production ranges from 48-120 kg CO2e/kWh, and copper production typically exceeds 4.5 kg CO2/kg.</w:t>
      </w:r>
    </w:p>
    <w:bookmarkEnd w:id="28"/>
    <w:bookmarkStart w:id="29" w:name="X45b4197a3ca81283416832913fa56aa2383b867"/>
    <w:p>
      <w:pPr>
        <w:pStyle w:val="Heading3"/>
      </w:pPr>
      <w:r>
        <w:t xml:space="preserve">2.2 Production Energy - Manufacturing (Scope 2 &amp; Scope 3, Category 3)</w:t>
      </w:r>
    </w:p>
    <w:p>
      <w:pPr>
        <w:pStyle w:val="FirstParagraph"/>
      </w:pPr>
      <w:r>
        <w:t xml:space="preserve">The energy consumed during the production phase in China is a critical factor. The following data is used:</w:t>
      </w:r>
    </w:p>
    <w:p>
      <w:pPr>
        <w:numPr>
          <w:ilvl w:val="0"/>
          <w:numId w:val="1002"/>
        </w:numPr>
        <w:pStyle w:val="Compact"/>
      </w:pPr>
      <w:r>
        <w:t xml:space="preserve">Renewable Energy Usage:</w:t>
      </w:r>
      <w:r>
        <w:t xml:space="preserve"> </w:t>
      </w:r>
      <w:r>
        <w:rPr>
          <w:bCs/>
          <w:b/>
        </w:rPr>
        <w:t xml:space="preserve">nfeqyqvhyp</w:t>
      </w:r>
      <w:r>
        <w:t xml:space="preserve"> </w:t>
      </w:r>
      <w:r>
        <w:t xml:space="preserve">(assumed 60%)</w:t>
      </w:r>
    </w:p>
    <w:p>
      <w:pPr>
        <w:numPr>
          <w:ilvl w:val="0"/>
          <w:numId w:val="1002"/>
        </w:numPr>
        <w:pStyle w:val="Compact"/>
      </w:pPr>
      <w:r>
        <w:t xml:space="preserve">Energy Intensity (kWh/unit):</w:t>
      </w:r>
      <w:r>
        <w:t xml:space="preserve"> </w:t>
      </w:r>
      <w:r>
        <w:rPr>
          <w:bCs/>
          <w:b/>
        </w:rPr>
        <w:t xml:space="preserve">rpinyymvuw</w:t>
      </w:r>
      <w:r>
        <w:t xml:space="preserve"> </w:t>
      </w:r>
      <w:r>
        <w:t xml:space="preserve">(assumed 5.0 kWh/unit)</w:t>
      </w:r>
    </w:p>
    <w:p>
      <w:pPr>
        <w:pStyle w:val="FirstParagraph"/>
      </w:pPr>
      <w:r>
        <w:t xml:space="preserve">The average electricity grid emission factor for China is approximately 0.556 kg CO2e/kWh.</w:t>
      </w:r>
    </w:p>
    <w:bookmarkEnd w:id="29"/>
    <w:bookmarkStart w:id="30" w:name="Xb4833fcd93c3cb6eddda5fd11ec1243f1573cc3"/>
    <w:p>
      <w:pPr>
        <w:pStyle w:val="Heading3"/>
      </w:pPr>
      <w:r>
        <w:t xml:space="preserve">2.3 Transport Logistics - Supply Chain &amp; Distribution (Scope 3, Categories 4 &amp; 9)</w:t>
      </w:r>
    </w:p>
    <w:p>
      <w:pPr>
        <w:pStyle w:val="FirstParagraph"/>
      </w:pPr>
      <w:r>
        <w:t xml:space="preserve">The transport data is integrated into the supply chain analysis. The total mass for transport is assumed to be 2.1 kg per functional unit, based on the BOM\'s total material quantity, acknowledging that packaged weight might be higher.</w:t>
      </w:r>
    </w:p>
    <w:p>
      <w:pPr>
        <w:numPr>
          <w:ilvl w:val="0"/>
          <w:numId w:val="1003"/>
        </w:numPr>
        <w:pStyle w:val="Compact"/>
      </w:pPr>
      <w:r>
        <w:t xml:space="preserve">Primary Transport Mode:</w:t>
      </w:r>
      <w:r>
        <w:t xml:space="preserve"> </w:t>
      </w:r>
      <w:r>
        <w:rPr>
          <w:bCs/>
          <w:b/>
        </w:rPr>
        <w:t xml:space="preserve">Select Mode</w:t>
      </w:r>
      <w:r>
        <w:t xml:space="preserve"> </w:t>
      </w:r>
      <w:r>
        <w:t xml:space="preserve">(assumed Ocean Freight - Container Ship)</w:t>
      </w:r>
    </w:p>
    <w:p>
      <w:pPr>
        <w:numPr>
          <w:ilvl w:val="0"/>
          <w:numId w:val="1003"/>
        </w:numPr>
        <w:pStyle w:val="Compact"/>
      </w:pPr>
      <w:r>
        <w:t xml:space="preserve">Primary Transport Distance:</w:t>
      </w:r>
      <w:r>
        <w:t xml:space="preserve"> </w:t>
      </w:r>
      <w:r>
        <w:rPr>
          <w:bCs/>
          <w:b/>
        </w:rPr>
        <w:t xml:space="preserve">shdrelvyjy</w:t>
      </w:r>
      <w:r>
        <w:t xml:space="preserve"> </w:t>
      </w:r>
      <w:r>
        <w:t xml:space="preserve">(assumed 8000 km for Ocean Freight)</w:t>
      </w:r>
    </w:p>
    <w:p>
      <w:pPr>
        <w:numPr>
          <w:ilvl w:val="0"/>
          <w:numId w:val="1003"/>
        </w:numPr>
        <w:pStyle w:val="Compact"/>
      </w:pPr>
      <w:r>
        <w:t xml:space="preserve">Last-Mile Delivery Channel:</w:t>
      </w:r>
      <w:r>
        <w:t xml:space="preserve"> </w:t>
      </w:r>
      <w:r>
        <w:rPr>
          <w:bCs/>
          <w:b/>
        </w:rPr>
        <w:t xml:space="preserve">Delivery Type</w:t>
      </w:r>
      <w:r>
        <w:t xml:space="preserve"> </w:t>
      </w:r>
      <w:r>
        <w:t xml:space="preserve">(assumed Road Freight - Heavy Goods Vehicle)</w:t>
      </w:r>
    </w:p>
    <w:p>
      <w:pPr>
        <w:numPr>
          <w:ilvl w:val="0"/>
          <w:numId w:val="1003"/>
        </w:numPr>
        <w:pStyle w:val="Compact"/>
      </w:pPr>
      <w:r>
        <w:t xml:space="preserve">Last-Mile Transport Distance: (assumed 500 km for Road Freight)</w:t>
      </w:r>
    </w:p>
    <w:p>
      <w:pPr>
        <w:pStyle w:val="FirstParagraph"/>
      </w:pPr>
      <w:r>
        <w:t xml:space="preserve">Typical emission factors for transport are used from industry standards (e.g., DEFRA, Ecoinvent).</w:t>
      </w:r>
    </w:p>
    <w:p>
      <w:pPr>
        <w:numPr>
          <w:ilvl w:val="0"/>
          <w:numId w:val="1004"/>
        </w:numPr>
        <w:pStyle w:val="Compact"/>
      </w:pPr>
      <w:r>
        <w:t xml:space="preserve">Ocean Freight (Container Ship): ~0.015 kg CO2e/tonne-km (tkm)</w:t>
      </w:r>
    </w:p>
    <w:p>
      <w:pPr>
        <w:numPr>
          <w:ilvl w:val="0"/>
          <w:numId w:val="1004"/>
        </w:numPr>
        <w:pStyle w:val="Compact"/>
      </w:pPr>
      <w:r>
        <w:t xml:space="preserve">Road Freight (Heavy Goods Vehicle): ~0.08 kg CO2e/tonne-km (tkm)</w:t>
      </w:r>
    </w:p>
    <w:bookmarkEnd w:id="30"/>
    <w:bookmarkStart w:id="31" w:name="use-phase-scope-3-category-11"/>
    <w:p>
      <w:pPr>
        <w:pStyle w:val="Heading3"/>
      </w:pPr>
      <w:r>
        <w:t xml:space="preserve">2.4 Use Phase (Scope 3, Category 11)</w:t>
      </w:r>
    </w:p>
    <w:p>
      <w:pPr>
        <w:pStyle w:val="FirstParagraph"/>
      </w:pPr>
      <w:r>
        <w:t xml:space="preserve">The use phase calculation incorporates product durability and energy consumption data:</w:t>
      </w:r>
    </w:p>
    <w:p>
      <w:pPr>
        <w:numPr>
          <w:ilvl w:val="0"/>
          <w:numId w:val="1005"/>
        </w:numPr>
        <w:pStyle w:val="Compact"/>
      </w:pPr>
      <w:r>
        <w:t xml:space="preserve">Product Lifespan:</w:t>
      </w:r>
      <w:r>
        <w:t xml:space="preserve"> </w:t>
      </w:r>
      <w:r>
        <w:rPr>
          <w:bCs/>
          <w:b/>
        </w:rPr>
        <w:t xml:space="preserve">syiwprdjux</w:t>
      </w:r>
      <w:r>
        <w:t xml:space="preserve"> </w:t>
      </w:r>
      <w:r>
        <w:t xml:space="preserve">(assumed 5 years)</w:t>
      </w:r>
    </w:p>
    <w:p>
      <w:pPr>
        <w:numPr>
          <w:ilvl w:val="0"/>
          <w:numId w:val="1005"/>
        </w:numPr>
        <w:pStyle w:val="Compact"/>
      </w:pPr>
      <w:r>
        <w:t xml:space="preserve">Energy Consumption in Use:</w:t>
      </w:r>
      <w:r>
        <w:t xml:space="preserve"> </w:t>
      </w:r>
      <w:r>
        <w:rPr>
          <w:bCs/>
          <w:b/>
        </w:rPr>
        <w:t xml:space="preserve">tvxsqtdgsv</w:t>
      </w:r>
      <w:r>
        <w:t xml:space="preserve"> </w:t>
      </w:r>
      <w:r>
        <w:t xml:space="preserve">(assumed 20 kWh/year)</w:t>
      </w:r>
    </w:p>
    <w:p>
      <w:pPr>
        <w:pStyle w:val="FirstParagraph"/>
      </w:pPr>
      <w:r>
        <w:t xml:space="preserve">For the user\'s electricity mix (given the "Europe Focused" supply chain, implying the product may be used in Europe), a generic European grid average of 0.27 kg CO2e/kWh is assumed for the use phase.</w:t>
      </w:r>
    </w:p>
    <w:bookmarkEnd w:id="31"/>
    <w:bookmarkStart w:id="32" w:name="X3261202975bfccb1283f2bd5fabef2dfdbe9c90"/>
    <w:p>
      <w:pPr>
        <w:pStyle w:val="Heading3"/>
      </w:pPr>
      <w:r>
        <w:t xml:space="preserve">2.5 End-of-Life (EoL) Scenarios (Scope 3, Category 12)</w:t>
      </w:r>
    </w:p>
    <w:p>
      <w:pPr>
        <w:pStyle w:val="FirstParagraph"/>
      </w:pPr>
      <w:r>
        <w:t xml:space="preserve">The EoL scenarios reflect circular economy impacts:</w:t>
      </w:r>
    </w:p>
    <w:p>
      <w:pPr>
        <w:numPr>
          <w:ilvl w:val="0"/>
          <w:numId w:val="1006"/>
        </w:numPr>
        <w:pStyle w:val="Compact"/>
      </w:pPr>
      <w:r>
        <w:t xml:space="preserve">Recyclability Percentage:</w:t>
      </w:r>
      <w:r>
        <w:t xml:space="preserve"> </w:t>
      </w:r>
      <w:r>
        <w:rPr>
          <w:bCs/>
          <w:b/>
        </w:rPr>
        <w:t xml:space="preserve">nntetlyytd</w:t>
      </w:r>
      <w:r>
        <w:t xml:space="preserve"> </w:t>
      </w:r>
      <w:r>
        <w:t xml:space="preserve">(assumed 70%)</w:t>
      </w:r>
    </w:p>
    <w:p>
      <w:pPr>
        <w:numPr>
          <w:ilvl w:val="0"/>
          <w:numId w:val="1006"/>
        </w:numPr>
        <w:pStyle w:val="Compact"/>
      </w:pPr>
      <w:r>
        <w:t xml:space="preserve">Circular/Take-back Programs:</w:t>
      </w:r>
      <w:r>
        <w:t xml:space="preserve"> </w:t>
      </w:r>
      <w:r>
        <w:rPr>
          <w:bCs/>
          <w:b/>
        </w:rPr>
        <w:t xml:space="preserve">fwjwjkzmrr</w:t>
      </w:r>
      <w:r>
        <w:t xml:space="preserve"> </w:t>
      </w:r>
      <w:r>
        <w:t xml:space="preserve">(assumed "Yes, comprehensive program in place")</w:t>
      </w:r>
    </w:p>
    <w:p>
      <w:pPr>
        <w:pStyle w:val="FirstParagraph"/>
      </w:pPr>
      <w:r>
        <w:t xml:space="preserve">Generic emission factors for landfill and recycling benefits are applied for illustrative purposes.</w:t>
      </w:r>
    </w:p>
    <w:p>
      <w:pPr>
        <w:numPr>
          <w:ilvl w:val="0"/>
          <w:numId w:val="1007"/>
        </w:numPr>
        <w:pStyle w:val="Compact"/>
      </w:pPr>
      <w:r>
        <w:t xml:space="preserve">Landfill (for non-recycled portion): 0.5 kg CO2e/kg (generic for mixed waste)</w:t>
      </w:r>
    </w:p>
    <w:p>
      <w:pPr>
        <w:numPr>
          <w:ilvl w:val="0"/>
          <w:numId w:val="1007"/>
        </w:numPr>
        <w:pStyle w:val="Compact"/>
      </w:pPr>
      <w:r>
        <w:t xml:space="preserve">Recycling Benefit (for recycled portion): -2.0 kg CO2e/kg (generic, highly variable by material)</w:t>
      </w:r>
    </w:p>
    <w:p>
      <w:r>
        <w:pict>
          <v:rect style="width:0;height:1.5pt" o:hralign="center" o:hrstd="t" o:hr="t"/>
        </w:pict>
      </w:r>
    </w:p>
    <w:bookmarkEnd w:id="32"/>
    <w:bookmarkEnd w:id="33"/>
    <w:bookmarkStart w:id="42" w:name="emission-calculation-methodology-results"/>
    <w:p>
      <w:pPr>
        <w:pStyle w:val="Heading2"/>
      </w:pPr>
      <w:r>
        <w:t xml:space="preserve">3. Emission Calculation Methodology &amp; Results</w:t>
      </w:r>
    </w:p>
    <w:p>
      <w:pPr>
        <w:pStyle w:val="FirstParagraph"/>
      </w:pPr>
      <w:r>
        <w:t xml:space="preserve">Emissions are calculated using the formula: Activity Data × Emission Factor = CO2e. Results are categorized into GHG Protocol Scopes.</w:t>
      </w:r>
    </w:p>
    <w:bookmarkStart w:id="39" w:name="Xdb0e5553c6fd6ab8f79555d506c5328f5f6dd87"/>
    <w:p>
      <w:pPr>
        <w:pStyle w:val="Heading3"/>
      </w:pPr>
      <w:r>
        <w:t xml:space="preserve">3.1 Emissions by Lifecycle Stage and GHG Scope</w:t>
      </w:r>
    </w:p>
    <w:bookmarkStart w:id="34" w:name="X5c59e7430a93a94302cd84e0e0cede865667383"/>
    <w:p>
      <w:pPr>
        <w:pStyle w:val="Heading4"/>
      </w:pPr>
      <w:r>
        <w:t xml:space="preserve">3.1.1 Upstream Material Production (Scope 3, Category 1: Purchased Goods and Services)</w:t>
      </w:r>
    </w:p>
    <w:p>
      <w:pPr>
        <w:pStyle w:val="FirstParagraph"/>
      </w:pPr>
      <w:r>
        <w:t xml:space="preserve">Based on the provided BOM, the total carbon footprint from upstream material production is the sum of "Total Carbon (kgCO2e)" for each component.</w:t>
      </w:r>
    </w:p>
    <w:p>
      <w:pPr>
        <w:pStyle w:val="BodyText"/>
      </w:pPr>
      <w:r>
        <w:rPr>
          <w:bCs/>
          <w:b/>
        </w:rPr>
        <w:t xml:space="preserve">Total Material Emissions: 13.05 kgCO2e</w:t>
      </w:r>
    </w:p>
    <w:bookmarkEnd w:id="34"/>
    <w:bookmarkStart w:id="35" w:name="X48461fcef9b1159567802230966c46ffbf9c8b8"/>
    <w:p>
      <w:pPr>
        <w:pStyle w:val="Heading4"/>
      </w:pPr>
      <w:r>
        <w:t xml:space="preserve">3.1.2 Manufacturing Energy (Scope 2: Purchased Electricity)</w:t>
      </w:r>
    </w:p>
    <w:p>
      <w:pPr>
        <w:pStyle w:val="FirstParagraph"/>
      </w:pPr>
      <w:r>
        <w:t xml:space="preserve">The energy intensity for manufacturing is 5.0 kWh/unit, with 60% from renewable sources. The remaining 40% is sourced from the Chinese grid (emission factor 0.556 kg CO2e/kWh).</w:t>
      </w:r>
    </w:p>
    <w:p>
      <w:pPr>
        <w:numPr>
          <w:ilvl w:val="0"/>
          <w:numId w:val="1008"/>
        </w:numPr>
        <w:pStyle w:val="Compact"/>
      </w:pPr>
      <w:r>
        <w:t xml:space="preserve">Non-renewable energy share: 5.0 kWh/unit * (1 - 0.60) = 2.0 kWh/unit</w:t>
      </w:r>
    </w:p>
    <w:p>
      <w:pPr>
        <w:numPr>
          <w:ilvl w:val="0"/>
          <w:numId w:val="1008"/>
        </w:numPr>
        <w:pStyle w:val="Compact"/>
      </w:pPr>
      <w:r>
        <w:t xml:space="preserve">Emissions from non-renewable energy: 2.0 kWh/unit * 0.556 kg CO2e/kWh = 1.112 kg CO2e/unit</w:t>
      </w:r>
    </w:p>
    <w:p>
      <w:pPr>
        <w:pStyle w:val="FirstParagraph"/>
      </w:pPr>
      <w:r>
        <w:rPr>
          <w:bCs/>
          <w:b/>
        </w:rPr>
        <w:t xml:space="preserve">Total Manufacturing Energy Emissions (Scope 2): 1.112 kgCO2e</w:t>
      </w:r>
    </w:p>
    <w:bookmarkEnd w:id="35"/>
    <w:bookmarkStart w:id="36" w:name="X717b114b162e0578c5fb9f0233831eb35f7c19a"/>
    <w:p>
      <w:pPr>
        <w:pStyle w:val="Heading4"/>
      </w:pPr>
      <w:r>
        <w:t xml:space="preserve">3.1.3 Upstream and Downstream Transport (Scope 3, Category 4: Upstream Transportation and Distribution; Category 9: Downstream Transportation and Distribution)</w:t>
      </w:r>
    </w:p>
    <w:p>
      <w:pPr>
        <w:pStyle w:val="FirstParagraph"/>
      </w:pPr>
      <w:r>
        <w:t xml:space="preserve">The total product mass for transport calculation is 2.1 kg.</w:t>
      </w:r>
    </w:p>
    <w:p>
      <w:pPr>
        <w:numPr>
          <w:ilvl w:val="0"/>
          <w:numId w:val="1009"/>
        </w:numPr>
        <w:pStyle w:val="Compact"/>
      </w:pPr>
      <w:r>
        <w:rPr>
          <w:bCs/>
          <w:b/>
        </w:rPr>
        <w:t xml:space="preserve">Primary Transport (Ocean Freight):</w:t>
      </w:r>
      <w:r>
        <w:t xml:space="preserve"> </w:t>
      </w:r>
      <w:r>
        <w:t xml:space="preserve">2.1 kg * (1 tonne / 1000 kg) * 8000 km * 0.015 kg CO2e/tkm = 0.252 kg CO2e</w:t>
      </w:r>
    </w:p>
    <w:p>
      <w:pPr>
        <w:numPr>
          <w:ilvl w:val="0"/>
          <w:numId w:val="1009"/>
        </w:numPr>
        <w:pStyle w:val="Compact"/>
      </w:pPr>
      <w:r>
        <w:rPr>
          <w:bCs/>
          <w:b/>
        </w:rPr>
        <w:t xml:space="preserve">Last-Mile Delivery (Road Freight):</w:t>
      </w:r>
      <w:r>
        <w:t xml:space="preserve"> </w:t>
      </w:r>
      <w:r>
        <w:t xml:space="preserve">2.1 kg * (1 tonne / 1000 kg) * 500 km * 0.08 kg CO2e/tkm = 0.084 kg CO2e</w:t>
      </w:r>
    </w:p>
    <w:p>
      <w:pPr>
        <w:pStyle w:val="FirstParagraph"/>
      </w:pPr>
      <w:r>
        <w:rPr>
          <w:bCs/>
          <w:b/>
        </w:rPr>
        <w:t xml:space="preserve">Total Transport Emissions (Scope 3): 0.336 kgCO2e</w:t>
      </w:r>
    </w:p>
    <w:bookmarkEnd w:id="36"/>
    <w:bookmarkStart w:id="37" w:name="Xc93cd3b6f76b62004a8d67ca752b7a9baa5af9c"/>
    <w:p>
      <w:pPr>
        <w:pStyle w:val="Heading4"/>
      </w:pPr>
      <w:r>
        <w:t xml:space="preserve">3.1.4 Use Phase Energy Consumption (Scope 3, Category 11: Use of Sold Products)</w:t>
      </w:r>
    </w:p>
    <w:p>
      <w:pPr>
        <w:pStyle w:val="FirstParagraph"/>
      </w:pPr>
      <w:r>
        <w:t xml:space="preserve">The product has a lifespan of 5 years and consumes 20 kWh/year. Assuming end-user electricity is from a generic European grid mix (0.27 kg CO2e/kWh).</w:t>
      </w:r>
    </w:p>
    <w:p>
      <w:pPr>
        <w:numPr>
          <w:ilvl w:val="0"/>
          <w:numId w:val="1010"/>
        </w:numPr>
        <w:pStyle w:val="Compact"/>
      </w:pPr>
      <w:r>
        <w:t xml:space="preserve">Total energy consumed over lifespan: 5 years * 20 kWh/year = 100 kWh</w:t>
      </w:r>
    </w:p>
    <w:p>
      <w:pPr>
        <w:numPr>
          <w:ilvl w:val="0"/>
          <w:numId w:val="1010"/>
        </w:numPr>
        <w:pStyle w:val="Compact"/>
      </w:pPr>
      <w:r>
        <w:t xml:space="preserve">Emissions from use phase: 100 kWh * 0.27 kg CO2e/kWh = 27.00 kg CO2e</w:t>
      </w:r>
    </w:p>
    <w:p>
      <w:pPr>
        <w:pStyle w:val="FirstParagraph"/>
      </w:pPr>
      <w:r>
        <w:rPr>
          <w:bCs/>
          <w:b/>
        </w:rPr>
        <w:t xml:space="preserve">Total Use Phase Emissions (Scope 3): 27.00 kgCO2e</w:t>
      </w:r>
    </w:p>
    <w:bookmarkEnd w:id="37"/>
    <w:bookmarkStart w:id="38" w:name="X00103e6ba7abe8d5263ba73086dccce71b32206"/>
    <w:p>
      <w:pPr>
        <w:pStyle w:val="Heading4"/>
      </w:pPr>
      <w:r>
        <w:t xml:space="preserve">3.1.5 End-of-Life Treatment (Scope 3, Category 12: End-of-Life Treatment of Sold Products)</w:t>
      </w:r>
    </w:p>
    <w:p>
      <w:pPr>
        <w:pStyle w:val="FirstParagraph"/>
      </w:pPr>
      <w:r>
        <w:t xml:space="preserve">With a recyclability percentage of 70% and comprehensive circular programs, the EoL impact includes recycling benefits and landfill emissions for the remaining portion. Total product mass at EoL is 2.1 kg.</w:t>
      </w:r>
    </w:p>
    <w:p>
      <w:pPr>
        <w:numPr>
          <w:ilvl w:val="0"/>
          <w:numId w:val="1011"/>
        </w:numPr>
        <w:pStyle w:val="Compact"/>
      </w:pPr>
      <w:r>
        <w:t xml:space="preserve">Recycled portion: 2.1 kg * 0.70 = 1.47 kg</w:t>
      </w:r>
    </w:p>
    <w:p>
      <w:pPr>
        <w:numPr>
          <w:ilvl w:val="0"/>
          <w:numId w:val="1011"/>
        </w:numPr>
        <w:pStyle w:val="Compact"/>
      </w:pPr>
      <w:r>
        <w:t xml:space="preserve">Emissions from recycled portion (credit): 1.47 kg * -2.0 kg CO2e/kg = -2.94 kg CO2e</w:t>
      </w:r>
    </w:p>
    <w:p>
      <w:pPr>
        <w:numPr>
          <w:ilvl w:val="0"/>
          <w:numId w:val="1011"/>
        </w:numPr>
        <w:pStyle w:val="Compact"/>
      </w:pPr>
      <w:r>
        <w:t xml:space="preserve">Landfilled portion: 2.1 kg * (1 - 0.70) = 0.63 kg</w:t>
      </w:r>
    </w:p>
    <w:p>
      <w:pPr>
        <w:numPr>
          <w:ilvl w:val="0"/>
          <w:numId w:val="1011"/>
        </w:numPr>
        <w:pStyle w:val="Compact"/>
      </w:pPr>
      <w:r>
        <w:t xml:space="preserve">Emissions from landfilled portion: 0.63 kg * 0.5 kg CO2e/kg = 0.315 kg CO2e</w:t>
      </w:r>
    </w:p>
    <w:p>
      <w:pPr>
        <w:numPr>
          <w:ilvl w:val="0"/>
          <w:numId w:val="1011"/>
        </w:numPr>
        <w:pStyle w:val="Compact"/>
      </w:pPr>
      <w:r>
        <w:t xml:space="preserve">Net EoL Emissions: -2.94 + 0.315 = -2.625 kg CO2e</w:t>
      </w:r>
    </w:p>
    <w:p>
      <w:pPr>
        <w:pStyle w:val="FirstParagraph"/>
      </w:pPr>
      <w:r>
        <w:rPr>
          <w:bCs/>
          <w:b/>
        </w:rPr>
        <w:t xml:space="preserve">Total End-of-Life Emissions (Scope 3): -2.63 kgCO2e</w:t>
      </w:r>
    </w:p>
    <w:bookmarkEnd w:id="38"/>
    <w:bookmarkEnd w:id="39"/>
    <w:bookmarkStart w:id="40" w:name="X5935381995398d4374a4f93fc14b87fab662fe7"/>
    <w:p>
      <w:pPr>
        <w:pStyle w:val="Heading3"/>
      </w:pPr>
      <w:r>
        <w:t xml:space="preserve">3.2 Summary of Product Carbon Footprint (PCF) for qxjjmtkfsl</w:t>
      </w:r>
    </w:p>
    <w:p>
      <w:pPr>
        <w:pStyle w:val="FirstParagraph"/>
      </w:pPr>
      <w:r>
        <w:t xml:space="preserve">The following table summarizes the PCF for one functional unit of qxjjmtkfsl, categorized by lifecycle stage and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Upstream Material Production</w:t>
            </w:r>
          </w:p>
        </w:tc>
        <w:tc>
          <w:tcPr/>
          <w:p>
            <w:pPr>
              <w:pStyle w:val="Compact"/>
              <w:jc w:val="left"/>
            </w:pPr>
            <w:r>
              <w:t xml:space="preserve">Scope 3 (Category 1)</w:t>
            </w:r>
          </w:p>
        </w:tc>
        <w:tc>
          <w:tcPr/>
          <w:p>
            <w:pPr>
              <w:pStyle w:val="Compact"/>
              <w:jc w:val="left"/>
            </w:pPr>
            <w:r>
              <w:t xml:space="preserve">13.05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1.11</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0.34</w:t>
            </w: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27.00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-2.63</w:t>
            </w:r>
          </w:p>
        </w:tc>
      </w:tr>
      <w:tr>
        <w:tc>
          <w:tcPr>
            <w:gridSpan w:val="2"/>
          </w:tcPr>
          <w:p>
            <w:pPr>
              <w:pStyle w:val="Compact"/>
              <w:jc w:val="right"/>
            </w:pPr>
            <w:r>
              <w:t xml:space="preserve">Total Product Carbon Footprint (PCF):</w:t>
            </w:r>
          </w:p>
        </w:tc>
        <w:tc>
          <w:tcPr/>
          <w:p>
            <w:pPr>
              <w:pStyle w:val="Compact"/>
              <w:jc w:val="left"/>
            </w:pPr>
            <w:r>
              <w:t xml:space="preserve">38.87</w:t>
            </w:r>
          </w:p>
        </w:tc>
      </w:tr>
    </w:tbl>
    <w:bookmarkEnd w:id="40"/>
    <w:bookmarkStart w:id="41" w:name="Xdbea411ba479f4fc7882af9c5dd5d0262188425"/>
    <w:p>
      <w:pPr>
        <w:pStyle w:val="Heading3"/>
      </w:pPr>
      <w:r>
        <w:t xml:space="preserve">3.3 Emissions Breakdown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w:t>
            </w:r>
          </w:p>
        </w:tc>
        <w:tc>
          <w:tcPr/>
          <w:p>
            <w:pPr>
              <w:pStyle w:val="Compact"/>
            </w:pP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c>
          <w:tcPr/>
          <w:p>
            <w:pPr>
              <w:pStyle w:val="Compact"/>
            </w:pPr>
          </w:p>
        </w:tc>
      </w:tr>
      <w:tr>
        <w:tc>
          <w:tcPr/>
          <w:p>
            <w:pPr>
              <w:pStyle w:val="Compact"/>
              <w:jc w:val="left"/>
            </w:pPr>
            <w:r>
              <w:t xml:space="preserve">Scope 2 (Purchased Energy)</w:t>
            </w:r>
          </w:p>
        </w:tc>
        <w:tc>
          <w:tcPr/>
          <w:p>
            <w:pPr>
              <w:pStyle w:val="Compact"/>
              <w:jc w:val="left"/>
            </w:pPr>
            <w:r>
              <w:t xml:space="preserve">1.11</w:t>
            </w:r>
          </w:p>
        </w:tc>
        <w:tc>
          <w:tcPr/>
          <w:p>
            <w:pPr>
              <w:pStyle w:val="Compact"/>
              <w:jc w:val="left"/>
            </w:pPr>
            <w:r>
              <w:t xml:space="preserve">2.86%</w:t>
            </w:r>
          </w:p>
        </w:tc>
        <w:tc>
          <w:tcPr/>
          <w:p>
            <w:pPr>
              <w:pStyle w:val="Compact"/>
            </w:pPr>
          </w:p>
        </w:tc>
      </w:tr>
      <w:tr>
        <w:tc>
          <w:tcPr/>
          <w:p>
            <w:pPr>
              <w:pStyle w:val="Compact"/>
              <w:jc w:val="left"/>
            </w:pPr>
            <w:r>
              <w:t xml:space="preserve">Scope 3 (Value Chain Emissions)</w:t>
            </w:r>
          </w:p>
        </w:tc>
        <w:tc>
          <w:tcPr/>
          <w:p>
            <w:pPr>
              <w:pStyle w:val="Compact"/>
              <w:jc w:val="left"/>
            </w:pPr>
            <w:r>
              <w:t xml:space="preserve">37.76</w:t>
            </w:r>
          </w:p>
        </w:tc>
        <w:tc>
          <w:tcPr/>
          <w:p>
            <w:pPr>
              <w:pStyle w:val="Compact"/>
              <w:jc w:val="left"/>
            </w:pPr>
            <w:r>
              <w:t xml:space="preserve">97.14%</w:t>
            </w:r>
          </w:p>
        </w:tc>
        <w:tc>
          <w:tcPr/>
          <w:p>
            <w:pPr>
              <w:pStyle w:val="Compact"/>
            </w:pPr>
          </w:p>
        </w:tc>
      </w:tr>
      <w:tr>
        <w:tc>
          <w:tcPr>
            <w:gridSpan w:val="2"/>
          </w:tcPr>
          <w:p>
            <w:pPr>
              <w:pStyle w:val="Compact"/>
              <w:jc w:val="right"/>
            </w:pPr>
            <w:r>
              <w:t xml:space="preserve">Total PCF:</w:t>
            </w:r>
          </w:p>
        </w:tc>
        <w:tc>
          <w:tcPr/>
          <w:p>
            <w:pPr>
              <w:pStyle w:val="Compact"/>
              <w:jc w:val="left"/>
            </w:pPr>
            <w:r>
              <w:t xml:space="preserve">38.87</w:t>
            </w:r>
          </w:p>
        </w:tc>
        <w:tc>
          <w:tcPr/>
          <w:p>
            <w:pPr>
              <w:pStyle w:val="Compact"/>
              <w:jc w:val="left"/>
            </w:pPr>
            <w:r>
              <w:t xml:space="preserve">100.00%</w:t>
            </w:r>
          </w:p>
        </w:tc>
      </w:tr>
    </w:tbl>
    <w:p>
      <w:pPr>
        <w:pStyle w:val="BodyText"/>
      </w:pPr>
      <w:r>
        <w:rPr>
          <w:iCs/>
          <w:i/>
        </w:rPr>
        <w:t xml:space="preserve">Note: Scope 1 emissions are considered negligible as the system boundary for core production is factory_gate, and no direct combustion activities at the factory level are specified for this product.</w:t>
      </w:r>
    </w:p>
    <w:p>
      <w:r>
        <w:pict>
          <v:rect style="width:0;height:1.5pt" o:hralign="center" o:hrstd="t" o:hr="t"/>
        </w:pict>
      </w:r>
    </w:p>
    <w:bookmarkEnd w:id="41"/>
    <w:bookmarkEnd w:id="42"/>
    <w:bookmarkStart w:id="46" w:name="review-reporting"/>
    <w:p>
      <w:pPr>
        <w:pStyle w:val="Heading2"/>
      </w:pPr>
      <w:r>
        <w:t xml:space="preserve">4. Review &amp; Reporting</w:t>
      </w:r>
    </w:p>
    <w:bookmarkStart w:id="43" w:name="hotspots-identification"/>
    <w:p>
      <w:pPr>
        <w:pStyle w:val="Heading3"/>
      </w:pPr>
      <w:r>
        <w:t xml:space="preserve">4.1 Hotspots Identification</w:t>
      </w:r>
    </w:p>
    <w:p>
      <w:pPr>
        <w:pStyle w:val="FirstParagraph"/>
      </w:pPr>
      <w:r>
        <w:t xml:space="preserve">The analysis reveals the following major emission hotspots for</w:t>
      </w:r>
      <w:r>
        <w:t xml:space="preserve"> </w:t>
      </w:r>
      <w:r>
        <w:rPr>
          <w:bCs/>
          <w:b/>
        </w:rPr>
        <w:t xml:space="preserve">qxjjmtkfsl</w:t>
      </w:r>
      <w:r>
        <w:t xml:space="preserve">:</w:t>
      </w:r>
    </w:p>
    <w:p>
      <w:pPr>
        <w:numPr>
          <w:ilvl w:val="0"/>
          <w:numId w:val="1012"/>
        </w:numPr>
        <w:pStyle w:val="Compact"/>
      </w:pPr>
      <w:r>
        <w:rPr>
          <w:bCs/>
          <w:b/>
        </w:rPr>
        <w:t xml:space="preserve">Use Phase (Scope 3, Category 11):</w:t>
      </w:r>
      <w:r>
        <w:t xml:space="preserve"> </w:t>
      </w:r>
      <w:r>
        <w:t xml:space="preserve">This stage accounts for the largest portion of the PCF (approximately 69.46%), primarily due to the energy consumption of the product over its assumed 5-year lifespan. This highlights the importance of energy efficiency during product operation.</w:t>
      </w:r>
    </w:p>
    <w:p>
      <w:pPr>
        <w:numPr>
          <w:ilvl w:val="0"/>
          <w:numId w:val="1012"/>
        </w:numPr>
        <w:pStyle w:val="Compact"/>
      </w:pPr>
      <w:r>
        <w:rPr>
          <w:bCs/>
          <w:b/>
        </w:rPr>
        <w:t xml:space="preserve">Upstream Material Production (Scope 3, Category 1):</w:t>
      </w:r>
      <w:r>
        <w:t xml:space="preserve"> </w:t>
      </w:r>
      <w:r>
        <w:t xml:space="preserve">Raw material extraction and processing represent the second most significant contributor (approximately 33.57%), emphasizing the impact of material selection and supply chain sustainability. Key materials like Aluminum, Lithium-ion Batteries, and Copper have inherently high production footprints.</w:t>
      </w:r>
    </w:p>
    <w:p>
      <w:pPr>
        <w:numPr>
          <w:ilvl w:val="0"/>
          <w:numId w:val="1012"/>
        </w:numPr>
        <w:pStyle w:val="Compact"/>
      </w:pPr>
      <w:r>
        <w:rPr>
          <w:bCs/>
          <w:b/>
        </w:rPr>
        <w:t xml:space="preserve">End-of-Life Treatment (Scope 3, Category 12):</w:t>
      </w:r>
      <w:r>
        <w:t xml:space="preserve"> </w:t>
      </w:r>
      <w:r>
        <w:t xml:space="preserve">The circular economy initiatives, specifically the high recyclability percentage and take-back programs, provide a significant net carbon benefit (-2.63 kgCO2e), effectively reducing the overall PCF. This demonstrates the positive impact of robust EoL strategies.</w:t>
      </w:r>
    </w:p>
    <w:bookmarkEnd w:id="43"/>
    <w:bookmarkStart w:id="44" w:name="reliability-statement"/>
    <w:p>
      <w:pPr>
        <w:pStyle w:val="Heading3"/>
      </w:pPr>
      <w:r>
        <w:t xml:space="preserve">4.2 Reliability Statement</w:t>
      </w:r>
    </w:p>
    <w:p>
      <w:pPr>
        <w:pStyle w:val="FirstParagraph"/>
      </w:pPr>
      <w:r>
        <w:t xml:space="preserve">This report is based on the provided specific parameters for the product</w:t>
      </w:r>
      <w:r>
        <w:t xml:space="preserve"> </w:t>
      </w:r>
      <w:r>
        <w:rPr>
          <w:bCs/>
          <w:b/>
        </w:rPr>
        <w:t xml:space="preserve">qxjjmtkfsl</w:t>
      </w:r>
      <w:r>
        <w:t xml:space="preserve"> </w:t>
      </w:r>
      <w:r>
        <w:t xml:space="preserve">and utilizes industry-standard emission factors from reputable sources such as Ecoinvent and DEFRA for activity data where primary data was not available. Assumptions regarding transport modes, distances, and average electricity mixes (China for production, generic Europe for use phase) were made based on the provided geographic scope and typical industry practices. While efforts have been made to ensure accuracy and comprehensiveness, the results are estimates. The actual carbon footprint may vary depending on further granular primary data collection from specific suppliers and facilities, especially concerning the precise energy mix in production facilities within China and the exact logistics routes.</w:t>
      </w:r>
    </w:p>
    <w:bookmarkEnd w:id="44"/>
    <w:bookmarkStart w:id="45" w:name="recommendations-for-ntjfuprgqg"/>
    <w:p>
      <w:pPr>
        <w:pStyle w:val="Heading3"/>
      </w:pPr>
      <w:r>
        <w:t xml:space="preserve">4.3 Recommendations for ntjfuprgqg</w:t>
      </w:r>
    </w:p>
    <w:p>
      <w:pPr>
        <w:pStyle w:val="FirstParagraph"/>
      </w:pPr>
      <w:r>
        <w:t xml:space="preserve">Based on this PCF analysis,</w:t>
      </w:r>
      <w:r>
        <w:t xml:space="preserve"> </w:t>
      </w:r>
      <w:r>
        <w:rPr>
          <w:bCs/>
          <w:b/>
        </w:rPr>
        <w:t xml:space="preserve">ntjfuprgqg</w:t>
      </w:r>
      <w:r>
        <w:t xml:space="preserve"> </w:t>
      </w:r>
      <w:r>
        <w:t xml:space="preserve">should consider the following recommendations:</w:t>
      </w:r>
    </w:p>
    <w:p>
      <w:pPr>
        <w:numPr>
          <w:ilvl w:val="0"/>
          <w:numId w:val="1013"/>
        </w:numPr>
        <w:pStyle w:val="Compact"/>
      </w:pPr>
      <w:r>
        <w:rPr>
          <w:bCs/>
          <w:b/>
        </w:rPr>
        <w:t xml:space="preserve">Enhance Use Phase Efficiency:</w:t>
      </w:r>
      <w:r>
        <w:t xml:space="preserve"> </w:t>
      </w:r>
      <w:r>
        <w:t xml:space="preserve">Invest in R&amp;D to reduce the energy consumption of</w:t>
      </w:r>
      <w:r>
        <w:t xml:space="preserve"> </w:t>
      </w:r>
      <w:r>
        <w:rPr>
          <w:bCs/>
          <w:b/>
        </w:rPr>
        <w:t xml:space="preserve">qxjjmtkfsl</w:t>
      </w:r>
      <w:r>
        <w:t xml:space="preserve"> </w:t>
      </w:r>
      <w:r>
        <w:t xml:space="preserve">during its operational lifespan. Explore low-power modes, extend product durability further, or investigate alternative energy sources for product operation.</w:t>
      </w:r>
    </w:p>
    <w:p>
      <w:pPr>
        <w:numPr>
          <w:ilvl w:val="0"/>
          <w:numId w:val="1013"/>
        </w:numPr>
        <w:pStyle w:val="Compact"/>
      </w:pPr>
      <w:r>
        <w:rPr>
          <w:bCs/>
          <w:b/>
        </w:rPr>
        <w:t xml:space="preserve">Optimize Material Sourcing:</w:t>
      </w:r>
      <w:r>
        <w:t xml:space="preserve"> </w:t>
      </w:r>
      <w:r>
        <w:t xml:space="preserve">Collaborate with suppliers to reduce the embedded carbon of high-impact materials. This could involve sourcing aluminum, batteries, and copper from manufacturers using renewable energy or recycled content.</w:t>
      </w:r>
    </w:p>
    <w:p>
      <w:pPr>
        <w:numPr>
          <w:ilvl w:val="0"/>
          <w:numId w:val="1013"/>
        </w:numPr>
        <w:pStyle w:val="Compact"/>
      </w:pPr>
      <w:r>
        <w:rPr>
          <w:bCs/>
          <w:b/>
        </w:rPr>
        <w:t xml:space="preserve">Strengthen Circularity:</w:t>
      </w:r>
      <w:r>
        <w:t xml:space="preserve"> </w:t>
      </w:r>
      <w:r>
        <w:t xml:space="preserve">Continue to invest in and promote circular economy initiatives, including take-back programs and high-recyclability designs. Explore opportunities to increase the recyclability percentage even further and ensure efficient collection and processing.</w:t>
      </w:r>
    </w:p>
    <w:p>
      <w:pPr>
        <w:numPr>
          <w:ilvl w:val="0"/>
          <w:numId w:val="1013"/>
        </w:numPr>
        <w:pStyle w:val="Compact"/>
      </w:pPr>
      <w:r>
        <w:rPr>
          <w:bCs/>
          <w:b/>
        </w:rPr>
        <w:t xml:space="preserve">Supplier Engagement for Scope 3 Data:</w:t>
      </w:r>
      <w:r>
        <w:t xml:space="preserve"> </w:t>
      </w:r>
      <w:r>
        <w:t xml:space="preserve">To further improve the accuracy and robustness of future PCF analyses, engage with suppliers to obtain more primary data on their manufacturing processes, energy consumption, and specific emission factors. This aligns with the 2026 GHG Protocol Scope 3 requirement for data disaggregation.</w:t>
      </w:r>
    </w:p>
    <w:p>
      <w:pPr>
        <w:numPr>
          <w:ilvl w:val="0"/>
          <w:numId w:val="1013"/>
        </w:numPr>
        <w:pStyle w:val="Compact"/>
      </w:pPr>
      <w:r>
        <w:rPr>
          <w:bCs/>
          <w:b/>
        </w:rPr>
        <w:t xml:space="preserve">Renewable Energy Integration:</w:t>
      </w:r>
      <w:r>
        <w:t xml:space="preserve"> </w:t>
      </w:r>
      <w:r>
        <w:t xml:space="preserve">Evaluate opportunities to increase renewable energy usage in</w:t>
      </w:r>
      <w:r>
        <w:t xml:space="preserve"> </w:t>
      </w:r>
      <w:r>
        <w:rPr>
          <w:bCs/>
          <w:b/>
        </w:rPr>
        <w:t xml:space="preserve">ntjfuprgqg</w:t>
      </w:r>
      <w:r>
        <w:t xml:space="preserve">\'s own manufacturing operations and encourage suppliers to do the same, particularly given the production country\'s reliance on fossil fuels.</w:t>
      </w:r>
    </w:p>
    <w:p>
      <w:r>
        <w:pict>
          <v:rect style="width:0;height:1.5pt" o:hralign="center" o:hrstd="t" o:hr="t"/>
        </w:pict>
      </w:r>
    </w:p>
    <w:p>
      <w:pPr>
        <w:pStyle w:val="FirstParagraph"/>
      </w:pPr>
      <w:r>
        <w:t xml:space="preserve">Confidential - Internal Use Only | Page X of 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qxjjmtkfsl</dc:title>
  <dc:creator/>
  <dc:description>Detailed Product Carbon Footprint (PCF) analysis report for product qxjjmtkfsl, adhering to GHG Protocol standards and 2026 updates, conducted by Senior Sustainability Consultant fovitnndlj for company ntjfuprgqg.</dc:description>
  <dc:language>en</dc:language>
  <cp:keywords/>
  <dcterms:created xsi:type="dcterms:W3CDTF">2026-05-30T10:34:23Z</dcterms:created>
  <dcterms:modified xsi:type="dcterms:W3CDTF">2026-05-30T10:34:23Z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